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iagrams/colors1.xml" ContentType="application/vnd.openxmlformats-officedocument.drawingml.diagramColors+xml"/>
  <Override PartName="/word/diagrams/data1.xml" ContentType="application/vnd.openxmlformats-officedocument.drawingml.diagramData+xml"/>
  <Override PartName="/word/diagrams/drawing1.xml" ContentType="application/vnd.ms-office.drawingml.diagramDrawing+xml"/>
  <Override PartName="/word/diagrams/layout1.xml" ContentType="application/vnd.openxmlformats-officedocument.drawingml.diagramLayout+xml"/>
  <Override PartName="/word/diagrams/quickStyle1.xml" ContentType="application/vnd.openxmlformats-officedocument.drawingml.diagramStyle+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Style w:val="10"/>
          <w:rFonts w:ascii="文鼎书宋" w:hAnsi="文鼎书宋" w:eastAsia="文鼎书宋" w:cs="文鼎书宋"/>
          <w:b/>
          <w:color w:val="000000"/>
          <w:sz w:val="36"/>
          <w:szCs w:val="36"/>
        </w:rPr>
      </w:pPr>
    </w:p>
    <w:p>
      <w:pPr>
        <w:spacing w:line="360" w:lineRule="auto"/>
        <w:rPr>
          <w:rStyle w:val="10"/>
          <w:rFonts w:ascii="文鼎书宋" w:hAnsi="文鼎书宋" w:eastAsia="文鼎书宋" w:cs="文鼎书宋"/>
          <w:b/>
          <w:color w:val="000000"/>
          <w:sz w:val="36"/>
          <w:szCs w:val="36"/>
        </w:rPr>
      </w:pPr>
    </w:p>
    <w:p>
      <w:pPr>
        <w:jc w:val="center"/>
        <w:rPr>
          <w:rStyle w:val="10"/>
          <w:rFonts w:ascii="微软雅黑" w:hAnsi="微软雅黑" w:eastAsia="微软雅黑" w:cs="微软雅黑"/>
          <w:b/>
          <w:color w:val="2F5597" w:themeColor="accent5" w:themeShade="BF"/>
          <w:sz w:val="36"/>
          <w:szCs w:val="36"/>
        </w:rPr>
      </w:pPr>
    </w:p>
    <w:p>
      <w:pPr>
        <w:jc w:val="center"/>
        <w:rPr>
          <w:rStyle w:val="10"/>
          <w:rFonts w:ascii="微软雅黑" w:hAnsi="微软雅黑" w:eastAsia="微软雅黑" w:cs="微软雅黑"/>
          <w:b/>
          <w:color w:val="2F5597" w:themeColor="accent5" w:themeShade="BF"/>
          <w:sz w:val="36"/>
          <w:szCs w:val="36"/>
        </w:rPr>
      </w:pPr>
      <w:bookmarkStart w:id="0" w:name="_GoBack"/>
      <w:bookmarkEnd w:id="0"/>
    </w:p>
    <w:p>
      <w:pPr>
        <w:spacing w:line="360" w:lineRule="auto"/>
        <w:jc w:val="center"/>
        <w:rPr>
          <w:rStyle w:val="10"/>
          <w:rFonts w:ascii="Arial" w:hAnsi="Arial" w:cs="Arial"/>
          <w:b/>
          <w:color w:val="000000"/>
          <w:sz w:val="32"/>
          <w:szCs w:val="32"/>
        </w:rPr>
      </w:pPr>
      <w:r>
        <w:rPr>
          <w:rStyle w:val="12"/>
          <w:rFonts w:ascii="Arial" w:hAnsi="Arial" w:cs="Arial"/>
          <w:b/>
          <w:color w:val="000000"/>
          <w:sz w:val="28"/>
          <w:szCs w:val="28"/>
        </w:rPr>
        <w:drawing>
          <wp:inline distT="0" distB="0" distL="114300" distR="114300">
            <wp:extent cx="6095365" cy="2628265"/>
            <wp:effectExtent l="0" t="0" r="635" b="1905"/>
            <wp:docPr id="13" name="图片 13" descr="134c00061271460d906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34c00061271460d9062 (1)"/>
                    <pic:cNvPicPr>
                      <a:picLocks noChangeAspect="1"/>
                    </pic:cNvPicPr>
                  </pic:nvPicPr>
                  <pic:blipFill>
                    <a:blip r:embed="rId4" cstate="print"/>
                    <a:stretch>
                      <a:fillRect/>
                    </a:stretch>
                  </pic:blipFill>
                  <pic:spPr>
                    <a:xfrm>
                      <a:off x="0" y="0"/>
                      <a:ext cx="6095365" cy="2628265"/>
                    </a:xfrm>
                    <a:prstGeom prst="rect">
                      <a:avLst/>
                    </a:prstGeom>
                  </pic:spPr>
                </pic:pic>
              </a:graphicData>
            </a:graphic>
          </wp:inline>
        </w:drawing>
      </w:r>
    </w:p>
    <w:p>
      <w:pPr>
        <w:spacing w:line="360" w:lineRule="auto"/>
        <w:jc w:val="center"/>
        <w:rPr>
          <w:rStyle w:val="10"/>
          <w:rFonts w:ascii="Arial" w:hAnsi="Arial" w:cs="Arial"/>
          <w:b/>
          <w:color w:val="000000"/>
          <w:sz w:val="32"/>
          <w:szCs w:val="32"/>
        </w:rPr>
      </w:pPr>
    </w:p>
    <w:p>
      <w:pPr>
        <w:spacing w:line="360" w:lineRule="auto"/>
        <w:jc w:val="center"/>
        <w:rPr>
          <w:rStyle w:val="10"/>
          <w:rFonts w:ascii="微软雅黑" w:hAnsi="微软雅黑" w:eastAsia="微软雅黑" w:cs="微软雅黑"/>
          <w:b/>
          <w:color w:val="2F5597" w:themeColor="accent5" w:themeShade="BF"/>
          <w:sz w:val="44"/>
          <w:szCs w:val="44"/>
        </w:rPr>
      </w:pPr>
      <w:r>
        <w:rPr>
          <w:rStyle w:val="10"/>
          <w:rFonts w:hint="eastAsia" w:ascii="微软雅黑" w:hAnsi="微软雅黑" w:eastAsia="微软雅黑" w:cs="微软雅黑"/>
          <w:b/>
          <w:color w:val="2F5597" w:themeColor="accent5" w:themeShade="BF"/>
          <w:sz w:val="44"/>
          <w:szCs w:val="44"/>
        </w:rPr>
        <w:t>2024年暑假“名校进名企·美国访学”项目</w:t>
      </w:r>
    </w:p>
    <w:p>
      <w:pPr>
        <w:spacing w:line="360" w:lineRule="auto"/>
        <w:jc w:val="center"/>
        <w:rPr>
          <w:rStyle w:val="10"/>
          <w:rFonts w:ascii="Arial" w:hAnsi="Arial" w:cs="Arial"/>
          <w:b/>
          <w:color w:val="000000"/>
          <w:sz w:val="28"/>
          <w:szCs w:val="28"/>
        </w:rPr>
      </w:pPr>
    </w:p>
    <w:p>
      <w:pPr>
        <w:spacing w:line="360" w:lineRule="auto"/>
        <w:rPr>
          <w:rStyle w:val="10"/>
          <w:rFonts w:ascii="Arial" w:hAnsi="Arial" w:cs="Arial"/>
          <w:b/>
          <w:color w:val="000000"/>
          <w:sz w:val="28"/>
          <w:szCs w:val="28"/>
        </w:rPr>
      </w:pPr>
    </w:p>
    <w:p>
      <w:pPr>
        <w:spacing w:line="360" w:lineRule="auto"/>
        <w:rPr>
          <w:rStyle w:val="10"/>
          <w:rFonts w:ascii="Arial" w:hAnsi="Arial" w:cs="Arial"/>
          <w:bCs/>
          <w:color w:val="000000"/>
          <w:sz w:val="28"/>
          <w:szCs w:val="28"/>
        </w:rPr>
      </w:pPr>
    </w:p>
    <w:p>
      <w:pPr>
        <w:spacing w:line="480" w:lineRule="exact"/>
        <w:rPr>
          <w:rStyle w:val="10"/>
          <w:rFonts w:ascii="微软雅黑" w:hAnsi="微软雅黑" w:eastAsia="微软雅黑" w:cs="微软雅黑"/>
          <w:b/>
          <w:color w:val="000000"/>
        </w:rPr>
      </w:pPr>
    </w:p>
    <w:p>
      <w:pPr>
        <w:spacing w:line="480" w:lineRule="exact"/>
        <w:rPr>
          <w:rStyle w:val="10"/>
          <w:rFonts w:ascii="微软雅黑" w:hAnsi="微软雅黑" w:eastAsia="微软雅黑" w:cs="微软雅黑"/>
          <w:b/>
          <w:color w:val="000000"/>
        </w:rPr>
      </w:pPr>
    </w:p>
    <w:p>
      <w:pPr>
        <w:spacing w:line="480" w:lineRule="exact"/>
        <w:rPr>
          <w:rStyle w:val="10"/>
          <w:rFonts w:ascii="微软雅黑" w:hAnsi="微软雅黑" w:eastAsia="微软雅黑" w:cs="微软雅黑"/>
          <w:b/>
          <w:color w:val="000000"/>
        </w:rPr>
      </w:pPr>
    </w:p>
    <w:p>
      <w:pPr>
        <w:spacing w:line="480" w:lineRule="exact"/>
        <w:rPr>
          <w:rStyle w:val="8"/>
          <w:rFonts w:ascii="微软雅黑" w:hAnsi="微软雅黑" w:eastAsia="微软雅黑"/>
          <w:bCs/>
          <w:color w:val="333F50" w:themeColor="text2" w:themeShade="BF"/>
          <w:sz w:val="22"/>
          <w:szCs w:val="20"/>
        </w:rPr>
      </w:pPr>
    </w:p>
    <w:p>
      <w:pPr>
        <w:spacing w:line="480" w:lineRule="exact"/>
        <w:rPr>
          <w:rStyle w:val="8"/>
          <w:rFonts w:ascii="微软雅黑" w:hAnsi="微软雅黑" w:eastAsia="微软雅黑"/>
          <w:bCs/>
          <w:color w:val="333F50" w:themeColor="text2" w:themeShade="BF"/>
          <w:sz w:val="22"/>
          <w:szCs w:val="20"/>
        </w:rPr>
      </w:pPr>
    </w:p>
    <w:p>
      <w:pPr>
        <w:spacing w:line="276" w:lineRule="auto"/>
        <w:rPr>
          <w:rStyle w:val="8"/>
          <w:rFonts w:ascii="仿宋" w:hAnsi="仿宋" w:eastAsia="仿宋"/>
          <w:bCs/>
          <w:color w:val="333F50" w:themeColor="text2" w:themeShade="BF"/>
          <w:sz w:val="22"/>
        </w:rPr>
      </w:pPr>
    </w:p>
    <w:p>
      <w:pPr>
        <w:spacing w:line="276" w:lineRule="auto"/>
        <w:rPr>
          <w:rFonts w:ascii="仿宋" w:hAnsi="仿宋" w:eastAsia="仿宋" w:cs="微软雅黑"/>
        </w:rPr>
      </w:pPr>
    </w:p>
    <w:p>
      <w:pPr>
        <w:spacing w:line="276" w:lineRule="auto"/>
        <w:rPr>
          <w:rStyle w:val="8"/>
          <w:rFonts w:hint="eastAsia" w:ascii="仿宋" w:hAnsi="仿宋" w:eastAsia="仿宋"/>
          <w:bCs/>
          <w:color w:val="333F50" w:themeColor="text2" w:themeShade="BF"/>
        </w:rPr>
      </w:pPr>
    </w:p>
    <w:p>
      <w:pPr>
        <w:spacing w:line="276" w:lineRule="auto"/>
        <w:rPr>
          <w:rStyle w:val="8"/>
          <w:rFonts w:hint="eastAsia" w:ascii="仿宋" w:hAnsi="仿宋" w:eastAsia="仿宋"/>
          <w:bCs/>
          <w:color w:val="333F50" w:themeColor="text2" w:themeShade="BF"/>
        </w:rPr>
      </w:pPr>
    </w:p>
    <w:p>
      <w:pPr>
        <w:rPr>
          <w:rStyle w:val="8"/>
          <w:rFonts w:hint="eastAsia" w:ascii="仿宋" w:hAnsi="仿宋" w:eastAsia="仿宋"/>
          <w:bCs/>
          <w:color w:val="333F50" w:themeColor="text2" w:themeShade="BF"/>
        </w:rPr>
      </w:pPr>
      <w:r>
        <w:rPr>
          <w:rStyle w:val="8"/>
          <w:rFonts w:hint="eastAsia" w:ascii="仿宋" w:hAnsi="仿宋" w:eastAsia="仿宋"/>
          <w:bCs/>
          <w:color w:val="333F50" w:themeColor="text2" w:themeShade="BF"/>
        </w:rPr>
        <w:br w:type="page"/>
      </w:r>
    </w:p>
    <w:p>
      <w:pPr>
        <w:spacing w:line="276" w:lineRule="auto"/>
        <w:rPr>
          <w:rStyle w:val="8"/>
          <w:rFonts w:ascii="仿宋" w:hAnsi="仿宋" w:eastAsia="仿宋"/>
          <w:bCs/>
          <w:color w:val="333F50" w:themeColor="text2" w:themeShade="BF"/>
        </w:rPr>
      </w:pPr>
      <w:r>
        <w:rPr>
          <w:rStyle w:val="8"/>
          <w:rFonts w:hint="eastAsia" w:ascii="仿宋" w:hAnsi="仿宋" w:eastAsia="仿宋"/>
          <w:bCs/>
          <w:color w:val="333F50" w:themeColor="text2" w:themeShade="BF"/>
        </w:rPr>
        <w:t>项目简介</w:t>
      </w:r>
    </w:p>
    <w:p>
      <w:pPr>
        <w:spacing w:line="276" w:lineRule="auto"/>
        <w:rPr>
          <w:rFonts w:ascii="仿宋" w:hAnsi="仿宋" w:eastAsia="仿宋"/>
        </w:rPr>
      </w:pPr>
      <w:r>
        <w:rPr>
          <w:rStyle w:val="8"/>
          <w:rFonts w:hint="eastAsia" w:ascii="仿宋" w:hAnsi="仿宋" w:eastAsia="仿宋"/>
          <w:bCs/>
          <w:color w:val="333F50" w:themeColor="text2" w:themeShade="BF"/>
        </w:rPr>
        <w:t xml:space="preserve"> </w:t>
      </w:r>
      <w:r>
        <w:rPr>
          <w:rStyle w:val="8"/>
          <w:rFonts w:ascii="仿宋" w:hAnsi="仿宋" w:eastAsia="仿宋"/>
          <w:bCs/>
          <w:color w:val="333F50" w:themeColor="text2" w:themeShade="BF"/>
        </w:rPr>
        <w:t xml:space="preserve">   </w:t>
      </w:r>
      <w:r>
        <w:rPr>
          <w:rFonts w:hint="eastAsia" w:ascii="仿宋" w:hAnsi="仿宋" w:eastAsia="仿宋"/>
        </w:rPr>
        <w:t>为贯彻落实全国两会精神，做好“六稳”工作、落实“六保”任务，将稳就业和保就业放在首位，推动国内高校着力构建赶超世界先进水平人才培养体系，加快培养勇闯“无人区”的高层次人才，</w:t>
      </w:r>
      <w:r>
        <w:rPr>
          <w:rFonts w:hint="eastAsia" w:ascii="仿宋" w:hAnsi="仿宋" w:eastAsia="仿宋"/>
          <w:lang w:val="en-US" w:eastAsia="zh-CN"/>
        </w:rPr>
        <w:t>现</w:t>
      </w:r>
      <w:r>
        <w:rPr>
          <w:rFonts w:ascii="仿宋" w:hAnsi="仿宋" w:eastAsia="仿宋"/>
        </w:rPr>
        <w:t>推出</w:t>
      </w:r>
      <w:r>
        <w:rPr>
          <w:rFonts w:hint="eastAsia" w:ascii="仿宋" w:hAnsi="仿宋" w:eastAsia="仿宋"/>
        </w:rPr>
        <w:t xml:space="preserve">“名校进名企项目”，在国内高水平大学选拔 </w:t>
      </w:r>
      <w:r>
        <w:rPr>
          <w:rFonts w:ascii="仿宋" w:hAnsi="仿宋" w:eastAsia="仿宋"/>
        </w:rPr>
        <w:t>1</w:t>
      </w:r>
      <w:r>
        <w:rPr>
          <w:rFonts w:hint="eastAsia" w:ascii="仿宋" w:hAnsi="仿宋" w:eastAsia="仿宋"/>
        </w:rPr>
        <w:t>00名优秀学生参加项目实训。</w:t>
      </w:r>
    </w:p>
    <w:p>
      <w:pPr>
        <w:spacing w:line="276" w:lineRule="auto"/>
        <w:ind w:firstLine="482" w:firstLineChars="200"/>
        <w:rPr>
          <w:rFonts w:ascii="仿宋" w:hAnsi="仿宋" w:eastAsia="仿宋"/>
        </w:rPr>
      </w:pPr>
      <w:r>
        <w:rPr>
          <w:rFonts w:hint="eastAsia" w:ascii="仿宋" w:hAnsi="仿宋" w:eastAsia="仿宋" w:cs="微软雅黑"/>
          <w:b/>
          <w:bCs/>
        </w:rPr>
        <w:t>项目由青年教师带领学生共同组成小组，</w:t>
      </w:r>
      <w:r>
        <w:rPr>
          <w:rFonts w:hint="eastAsia" w:ascii="仿宋" w:hAnsi="仿宋" w:eastAsia="仿宋"/>
        </w:rPr>
        <w:t>项目深入美国企业和不同类型高校开展项目科技体验、专业学习、职业规划、面试模拟，帮助学生深刻了解战略前沿行业、树立职业信心、规划职业发展、赋能职业技能，对接企业和导师资源，帮助学生对美国升学和就业形势有更深刻的了解，对企业需求有更准确的认知。项目在美期间，入住美国家庭。</w:t>
      </w:r>
    </w:p>
    <w:p>
      <w:pPr>
        <w:spacing w:line="276" w:lineRule="auto"/>
        <w:ind w:firstLine="400"/>
        <w:rPr>
          <w:rFonts w:ascii="仿宋" w:hAnsi="仿宋" w:eastAsia="仿宋" w:cs="微软雅黑"/>
          <w:b/>
          <w:bCs/>
        </w:rPr>
      </w:pPr>
      <w:r>
        <w:rPr>
          <w:rFonts w:hint="eastAsia" w:ascii="仿宋" w:hAnsi="仿宋" w:eastAsia="仿宋" w:cs="微软雅黑"/>
        </w:rPr>
        <w:t>名校进名企美国访学项目是一个普适于任何专业的社会实践类项目，中、外名企之间差异与比较是项目的核心内容。</w:t>
      </w:r>
      <w:r>
        <w:rPr>
          <w:rFonts w:hint="eastAsia" w:ascii="仿宋" w:hAnsi="仿宋" w:eastAsia="仿宋" w:cs="微软雅黑"/>
          <w:b/>
          <w:bCs/>
        </w:rPr>
        <w:t>项目的宗旨在于配合高校建设青年教师队伍，为大学生海外留学升学及提高综合素质提供了有效途径。</w:t>
      </w:r>
    </w:p>
    <w:p>
      <w:pPr>
        <w:spacing w:line="276" w:lineRule="auto"/>
        <w:ind w:firstLine="400"/>
        <w:rPr>
          <w:rFonts w:ascii="仿宋" w:hAnsi="仿宋" w:eastAsia="仿宋" w:cs="微软雅黑"/>
          <w:b/>
          <w:bCs/>
        </w:rPr>
      </w:pPr>
      <w:r>
        <w:rPr>
          <w:rFonts w:hint="eastAsia" w:ascii="微软雅黑" w:hAnsi="微软雅黑" w:eastAsia="微软雅黑" w:cs="微软雅黑"/>
          <w:b/>
          <w:bCs/>
        </w:rPr>
        <w:drawing>
          <wp:anchor distT="0" distB="0" distL="114300" distR="114300" simplePos="0" relativeHeight="251670528" behindDoc="1" locked="0" layoutInCell="1" allowOverlap="1">
            <wp:simplePos x="0" y="0"/>
            <wp:positionH relativeFrom="column">
              <wp:posOffset>4485640</wp:posOffset>
            </wp:positionH>
            <wp:positionV relativeFrom="paragraph">
              <wp:posOffset>1691005</wp:posOffset>
            </wp:positionV>
            <wp:extent cx="2160270" cy="1089660"/>
            <wp:effectExtent l="0" t="0" r="0" b="2540"/>
            <wp:wrapThrough wrapText="bothSides">
              <wp:wrapPolygon>
                <wp:start x="0" y="0"/>
                <wp:lineTo x="0" y="21399"/>
                <wp:lineTo x="21460" y="21399"/>
                <wp:lineTo x="21460" y="0"/>
                <wp:lineTo x="0" y="0"/>
              </wp:wrapPolygon>
            </wp:wrapThrough>
            <wp:docPr id="21" name="图片 21" descr="07"/>
            <wp:cNvGraphicFramePr/>
            <a:graphic xmlns:a="http://schemas.openxmlformats.org/drawingml/2006/main">
              <a:graphicData uri="http://schemas.openxmlformats.org/drawingml/2006/picture">
                <pic:pic xmlns:pic="http://schemas.openxmlformats.org/drawingml/2006/picture">
                  <pic:nvPicPr>
                    <pic:cNvPr id="21" name="图片 21" descr="07"/>
                    <pic:cNvPicPr/>
                  </pic:nvPicPr>
                  <pic:blipFill>
                    <a:blip r:embed="rId5" cstate="print"/>
                    <a:srcRect b="24339"/>
                    <a:stretch>
                      <a:fillRect/>
                    </a:stretch>
                  </pic:blipFill>
                  <pic:spPr>
                    <a:xfrm>
                      <a:off x="0" y="0"/>
                      <a:ext cx="2160270" cy="1089660"/>
                    </a:xfrm>
                    <a:prstGeom prst="rect">
                      <a:avLst/>
                    </a:prstGeom>
                    <a:ln>
                      <a:noFill/>
                    </a:ln>
                  </pic:spPr>
                </pic:pic>
              </a:graphicData>
            </a:graphic>
          </wp:anchor>
        </w:drawing>
      </w:r>
    </w:p>
    <w:p>
      <w:pPr>
        <w:jc w:val="center"/>
        <w:rPr>
          <w:rStyle w:val="8"/>
          <w:rFonts w:ascii="微软雅黑" w:hAnsi="微软雅黑" w:eastAsia="微软雅黑" w:cs="微软雅黑"/>
          <w:b w:val="0"/>
        </w:rPr>
      </w:pPr>
      <w:r>
        <w:rPr>
          <w:rFonts w:hint="eastAsia"/>
        </w:rPr>
        <w:drawing>
          <wp:anchor distT="0" distB="0" distL="114300" distR="114300" simplePos="0" relativeHeight="251667456" behindDoc="1" locked="0" layoutInCell="1" allowOverlap="1">
            <wp:simplePos x="0" y="0"/>
            <wp:positionH relativeFrom="column">
              <wp:posOffset>2219325</wp:posOffset>
            </wp:positionH>
            <wp:positionV relativeFrom="paragraph">
              <wp:posOffset>1447800</wp:posOffset>
            </wp:positionV>
            <wp:extent cx="2160270" cy="1080135"/>
            <wp:effectExtent l="0" t="0" r="0" b="5715"/>
            <wp:wrapTight wrapText="bothSides">
              <wp:wrapPolygon>
                <wp:start x="0" y="0"/>
                <wp:lineTo x="0" y="21333"/>
                <wp:lineTo x="21333" y="21333"/>
                <wp:lineTo x="21333" y="0"/>
                <wp:lineTo x="0" y="0"/>
              </wp:wrapPolygon>
            </wp:wrapTight>
            <wp:docPr id="6" name="图片 6" descr="539369339787946899"/>
            <wp:cNvGraphicFramePr/>
            <a:graphic xmlns:a="http://schemas.openxmlformats.org/drawingml/2006/main">
              <a:graphicData uri="http://schemas.openxmlformats.org/drawingml/2006/picture">
                <pic:pic xmlns:pic="http://schemas.openxmlformats.org/drawingml/2006/picture">
                  <pic:nvPicPr>
                    <pic:cNvPr id="6" name="图片 6" descr="539369339787946899"/>
                    <pic:cNvPicPr/>
                  </pic:nvPicPr>
                  <pic:blipFill>
                    <a:blip r:embed="rId6"/>
                    <a:stretch>
                      <a:fillRect/>
                    </a:stretch>
                  </pic:blipFill>
                  <pic:spPr>
                    <a:xfrm>
                      <a:off x="0" y="0"/>
                      <a:ext cx="2160270" cy="1080135"/>
                    </a:xfrm>
                    <a:prstGeom prst="rect">
                      <a:avLst/>
                    </a:prstGeom>
                  </pic:spPr>
                </pic:pic>
              </a:graphicData>
            </a:graphic>
          </wp:anchor>
        </w:drawing>
      </w:r>
      <w:r>
        <w:rPr>
          <w:rFonts w:hint="eastAsia" w:ascii="微软雅黑" w:hAnsi="微软雅黑" w:eastAsia="微软雅黑" w:cs="微软雅黑"/>
        </w:rPr>
        <w:drawing>
          <wp:anchor distT="0" distB="0" distL="114300" distR="114300" simplePos="0" relativeHeight="251665408" behindDoc="1" locked="0" layoutInCell="1" allowOverlap="1">
            <wp:simplePos x="0" y="0"/>
            <wp:positionH relativeFrom="column">
              <wp:posOffset>-45720</wp:posOffset>
            </wp:positionH>
            <wp:positionV relativeFrom="paragraph">
              <wp:posOffset>1432560</wp:posOffset>
            </wp:positionV>
            <wp:extent cx="2160270" cy="1080135"/>
            <wp:effectExtent l="0" t="0" r="0" b="5715"/>
            <wp:wrapTight wrapText="bothSides">
              <wp:wrapPolygon>
                <wp:start x="0" y="0"/>
                <wp:lineTo x="0" y="21333"/>
                <wp:lineTo x="21333" y="21333"/>
                <wp:lineTo x="21333" y="0"/>
                <wp:lineTo x="0" y="0"/>
              </wp:wrapPolygon>
            </wp:wrapTight>
            <wp:docPr id="12" name="图片 12" descr="QQ图片20160802093918"/>
            <wp:cNvGraphicFramePr/>
            <a:graphic xmlns:a="http://schemas.openxmlformats.org/drawingml/2006/main">
              <a:graphicData uri="http://schemas.openxmlformats.org/drawingml/2006/picture">
                <pic:pic xmlns:pic="http://schemas.openxmlformats.org/drawingml/2006/picture">
                  <pic:nvPicPr>
                    <pic:cNvPr id="12" name="图片 12" descr="QQ图片20160802093918"/>
                    <pic:cNvPicPr/>
                  </pic:nvPicPr>
                  <pic:blipFill>
                    <a:blip r:embed="rId7"/>
                    <a:stretch>
                      <a:fillRect/>
                    </a:stretch>
                  </pic:blipFill>
                  <pic:spPr>
                    <a:xfrm>
                      <a:off x="0" y="0"/>
                      <a:ext cx="2160270" cy="1080135"/>
                    </a:xfrm>
                    <a:prstGeom prst="rect">
                      <a:avLst/>
                    </a:prstGeom>
                  </pic:spPr>
                </pic:pic>
              </a:graphicData>
            </a:graphic>
          </wp:anchor>
        </w:drawing>
      </w:r>
      <w:r>
        <w:rPr>
          <w:rFonts w:hint="eastAsia" w:ascii="微软雅黑" w:hAnsi="微软雅黑" w:eastAsia="微软雅黑" w:cs="微软雅黑"/>
        </w:rPr>
        <w:drawing>
          <wp:anchor distT="0" distB="0" distL="114300" distR="114300" simplePos="0" relativeHeight="251664384" behindDoc="1" locked="0" layoutInCell="1" allowOverlap="1">
            <wp:simplePos x="0" y="0"/>
            <wp:positionH relativeFrom="column">
              <wp:posOffset>4485005</wp:posOffset>
            </wp:positionH>
            <wp:positionV relativeFrom="paragraph">
              <wp:posOffset>239395</wp:posOffset>
            </wp:positionV>
            <wp:extent cx="2160270" cy="1080135"/>
            <wp:effectExtent l="0" t="0" r="0" b="5715"/>
            <wp:wrapTight wrapText="bothSides">
              <wp:wrapPolygon>
                <wp:start x="0" y="0"/>
                <wp:lineTo x="0" y="21333"/>
                <wp:lineTo x="21333" y="21333"/>
                <wp:lineTo x="21333" y="0"/>
                <wp:lineTo x="0" y="0"/>
              </wp:wrapPolygon>
            </wp:wrapTight>
            <wp:docPr id="10" name="图片 10" descr="IMG_5683"/>
            <wp:cNvGraphicFramePr/>
            <a:graphic xmlns:a="http://schemas.openxmlformats.org/drawingml/2006/main">
              <a:graphicData uri="http://schemas.openxmlformats.org/drawingml/2006/picture">
                <pic:pic xmlns:pic="http://schemas.openxmlformats.org/drawingml/2006/picture">
                  <pic:nvPicPr>
                    <pic:cNvPr id="10" name="图片 10" descr="IMG_5683"/>
                    <pic:cNvPicPr/>
                  </pic:nvPicPr>
                  <pic:blipFill>
                    <a:blip r:embed="rId8"/>
                    <a:stretch>
                      <a:fillRect/>
                    </a:stretch>
                  </pic:blipFill>
                  <pic:spPr>
                    <a:xfrm>
                      <a:off x="0" y="0"/>
                      <a:ext cx="2160270" cy="1080135"/>
                    </a:xfrm>
                    <a:prstGeom prst="rect">
                      <a:avLst/>
                    </a:prstGeom>
                  </pic:spPr>
                </pic:pic>
              </a:graphicData>
            </a:graphic>
          </wp:anchor>
        </w:drawing>
      </w:r>
      <w:r>
        <w:rPr>
          <w:rFonts w:hint="eastAsia" w:ascii="微软雅黑" w:hAnsi="微软雅黑" w:eastAsia="微软雅黑" w:cs="微软雅黑"/>
        </w:rPr>
        <w:drawing>
          <wp:anchor distT="0" distB="0" distL="114300" distR="114300" simplePos="0" relativeHeight="251666432" behindDoc="1" locked="0" layoutInCell="1" allowOverlap="1">
            <wp:simplePos x="0" y="0"/>
            <wp:positionH relativeFrom="column">
              <wp:posOffset>2219325</wp:posOffset>
            </wp:positionH>
            <wp:positionV relativeFrom="paragraph">
              <wp:posOffset>245745</wp:posOffset>
            </wp:positionV>
            <wp:extent cx="2160270" cy="1080135"/>
            <wp:effectExtent l="0" t="0" r="0" b="5715"/>
            <wp:wrapTight wrapText="bothSides">
              <wp:wrapPolygon>
                <wp:start x="0" y="0"/>
                <wp:lineTo x="0" y="21333"/>
                <wp:lineTo x="21333" y="21333"/>
                <wp:lineTo x="21333" y="0"/>
                <wp:lineTo x="0" y="0"/>
              </wp:wrapPolygon>
            </wp:wrapTight>
            <wp:docPr id="2" name="图片 2" descr="886677290661197659"/>
            <wp:cNvGraphicFramePr/>
            <a:graphic xmlns:a="http://schemas.openxmlformats.org/drawingml/2006/main">
              <a:graphicData uri="http://schemas.openxmlformats.org/drawingml/2006/picture">
                <pic:pic xmlns:pic="http://schemas.openxmlformats.org/drawingml/2006/picture">
                  <pic:nvPicPr>
                    <pic:cNvPr id="2" name="图片 2" descr="886677290661197659"/>
                    <pic:cNvPicPr/>
                  </pic:nvPicPr>
                  <pic:blipFill>
                    <a:blip r:embed="rId9"/>
                    <a:stretch>
                      <a:fillRect/>
                    </a:stretch>
                  </pic:blipFill>
                  <pic:spPr>
                    <a:xfrm>
                      <a:off x="0" y="0"/>
                      <a:ext cx="2160270" cy="1080135"/>
                    </a:xfrm>
                    <a:prstGeom prst="rect">
                      <a:avLst/>
                    </a:prstGeom>
                  </pic:spPr>
                </pic:pic>
              </a:graphicData>
            </a:graphic>
          </wp:anchor>
        </w:drawing>
      </w:r>
      <w:r>
        <w:rPr>
          <w:rFonts w:hint="eastAsia" w:ascii="微软雅黑" w:hAnsi="微软雅黑" w:eastAsia="微软雅黑" w:cs="微软雅黑"/>
        </w:rPr>
        <w:drawing>
          <wp:anchor distT="0" distB="0" distL="114300" distR="114300" simplePos="0" relativeHeight="251663360" behindDoc="1" locked="0" layoutInCell="1" allowOverlap="1">
            <wp:simplePos x="0" y="0"/>
            <wp:positionH relativeFrom="column">
              <wp:posOffset>-42545</wp:posOffset>
            </wp:positionH>
            <wp:positionV relativeFrom="paragraph">
              <wp:posOffset>248920</wp:posOffset>
            </wp:positionV>
            <wp:extent cx="2160270" cy="1080135"/>
            <wp:effectExtent l="0" t="0" r="0" b="5715"/>
            <wp:wrapTight wrapText="bothSides">
              <wp:wrapPolygon>
                <wp:start x="0" y="0"/>
                <wp:lineTo x="0" y="21333"/>
                <wp:lineTo x="21333" y="21333"/>
                <wp:lineTo x="21333" y="0"/>
                <wp:lineTo x="0" y="0"/>
              </wp:wrapPolygon>
            </wp:wrapTight>
            <wp:docPr id="4" name="图片 4" descr="QQ图片20160822102935"/>
            <wp:cNvGraphicFramePr/>
            <a:graphic xmlns:a="http://schemas.openxmlformats.org/drawingml/2006/main">
              <a:graphicData uri="http://schemas.openxmlformats.org/drawingml/2006/picture">
                <pic:pic xmlns:pic="http://schemas.openxmlformats.org/drawingml/2006/picture">
                  <pic:nvPicPr>
                    <pic:cNvPr id="4" name="图片 4" descr="QQ图片20160822102935"/>
                    <pic:cNvPicPr/>
                  </pic:nvPicPr>
                  <pic:blipFill>
                    <a:blip r:embed="rId10"/>
                    <a:stretch>
                      <a:fillRect/>
                    </a:stretch>
                  </pic:blipFill>
                  <pic:spPr>
                    <a:xfrm>
                      <a:off x="0" y="0"/>
                      <a:ext cx="2160270" cy="1080135"/>
                    </a:xfrm>
                    <a:prstGeom prst="rect">
                      <a:avLst/>
                    </a:prstGeom>
                  </pic:spPr>
                </pic:pic>
              </a:graphicData>
            </a:graphic>
          </wp:anchor>
        </w:drawing>
      </w:r>
      <w:r>
        <w:rPr>
          <w:rFonts w:hint="eastAsia" w:ascii="微软雅黑" w:hAnsi="微软雅黑" w:eastAsia="微软雅黑" w:cs="微软雅黑"/>
        </w:rPr>
        <w:t xml:space="preserve"> </w:t>
      </w:r>
    </w:p>
    <w:p>
      <w:pPr>
        <w:spacing w:line="360" w:lineRule="auto"/>
        <w:rPr>
          <w:rFonts w:ascii="仿宋" w:hAnsi="仿宋" w:eastAsia="仿宋" w:cs="微软雅黑"/>
        </w:rPr>
      </w:pPr>
      <w:r>
        <w:rPr>
          <w:rStyle w:val="8"/>
          <w:rFonts w:hint="eastAsia" w:ascii="仿宋" w:hAnsi="仿宋" w:eastAsia="仿宋"/>
          <w:bCs/>
          <w:color w:val="333F50" w:themeColor="text2" w:themeShade="BF"/>
        </w:rPr>
        <w:t>项目时长：</w:t>
      </w:r>
      <w:r>
        <w:rPr>
          <w:rFonts w:hint="eastAsia" w:ascii="仿宋" w:hAnsi="仿宋" w:eastAsia="仿宋" w:cs="微软雅黑"/>
        </w:rPr>
        <w:t>2</w:t>
      </w:r>
      <w:r>
        <w:rPr>
          <w:rFonts w:ascii="仿宋" w:hAnsi="仿宋" w:eastAsia="仿宋" w:cs="微软雅黑"/>
        </w:rPr>
        <w:t>1</w:t>
      </w:r>
      <w:r>
        <w:rPr>
          <w:rFonts w:hint="eastAsia" w:ascii="仿宋" w:hAnsi="仿宋" w:eastAsia="仿宋" w:cs="微软雅黑"/>
        </w:rPr>
        <w:t>天或3</w:t>
      </w:r>
      <w:r>
        <w:rPr>
          <w:rFonts w:ascii="仿宋" w:hAnsi="仿宋" w:eastAsia="仿宋" w:cs="微软雅黑"/>
        </w:rPr>
        <w:t>0</w:t>
      </w:r>
      <w:r>
        <w:rPr>
          <w:rFonts w:hint="eastAsia" w:ascii="仿宋" w:hAnsi="仿宋" w:eastAsia="仿宋" w:cs="微软雅黑"/>
        </w:rPr>
        <w:t>天</w:t>
      </w:r>
    </w:p>
    <w:p>
      <w:pPr>
        <w:spacing w:line="360" w:lineRule="auto"/>
        <w:rPr>
          <w:rFonts w:ascii="仿宋" w:hAnsi="仿宋" w:eastAsia="仿宋" w:cs="微软雅黑"/>
        </w:rPr>
      </w:pPr>
      <w:r>
        <w:rPr>
          <w:rStyle w:val="8"/>
          <w:rFonts w:hint="eastAsia" w:ascii="仿宋" w:hAnsi="仿宋" w:eastAsia="仿宋"/>
          <w:bCs/>
          <w:color w:val="333F50" w:themeColor="text2" w:themeShade="BF"/>
        </w:rPr>
        <w:t>项目时间：</w:t>
      </w:r>
      <w:r>
        <w:rPr>
          <w:rFonts w:hint="eastAsia" w:ascii="仿宋" w:hAnsi="仿宋" w:eastAsia="仿宋" w:cs="微软雅黑"/>
        </w:rPr>
        <w:t>7月2</w:t>
      </w:r>
      <w:r>
        <w:rPr>
          <w:rFonts w:ascii="仿宋" w:hAnsi="仿宋" w:eastAsia="仿宋" w:cs="微软雅黑"/>
        </w:rPr>
        <w:t>8</w:t>
      </w:r>
      <w:r>
        <w:rPr>
          <w:rFonts w:hint="eastAsia" w:ascii="仿宋" w:hAnsi="仿宋" w:eastAsia="仿宋" w:cs="微软雅黑"/>
        </w:rPr>
        <w:t>日-</w:t>
      </w:r>
      <w:r>
        <w:rPr>
          <w:rFonts w:ascii="仿宋" w:hAnsi="仿宋" w:eastAsia="仿宋" w:cs="微软雅黑"/>
        </w:rPr>
        <w:t>8</w:t>
      </w:r>
      <w:r>
        <w:rPr>
          <w:rFonts w:hint="eastAsia" w:ascii="仿宋" w:hAnsi="仿宋" w:eastAsia="仿宋" w:cs="微软雅黑"/>
        </w:rPr>
        <w:t>月1</w:t>
      </w:r>
      <w:r>
        <w:rPr>
          <w:rFonts w:ascii="仿宋" w:hAnsi="仿宋" w:eastAsia="仿宋" w:cs="微软雅黑"/>
        </w:rPr>
        <w:t>7</w:t>
      </w:r>
      <w:r>
        <w:rPr>
          <w:rFonts w:hint="eastAsia" w:ascii="仿宋" w:hAnsi="仿宋" w:eastAsia="仿宋" w:cs="微软雅黑"/>
        </w:rPr>
        <w:t>日（2</w:t>
      </w:r>
      <w:r>
        <w:rPr>
          <w:rFonts w:ascii="仿宋" w:hAnsi="仿宋" w:eastAsia="仿宋" w:cs="微软雅黑"/>
        </w:rPr>
        <w:t>1</w:t>
      </w:r>
      <w:r>
        <w:rPr>
          <w:rFonts w:hint="eastAsia" w:ascii="仿宋" w:hAnsi="仿宋" w:eastAsia="仿宋" w:cs="微软雅黑"/>
        </w:rPr>
        <w:t>天）</w:t>
      </w:r>
    </w:p>
    <w:p>
      <w:pPr>
        <w:spacing w:line="360" w:lineRule="auto"/>
        <w:rPr>
          <w:rFonts w:ascii="仿宋" w:hAnsi="仿宋" w:eastAsia="仿宋" w:cs="微软雅黑"/>
        </w:rPr>
      </w:pPr>
      <w:r>
        <w:rPr>
          <w:rFonts w:hint="eastAsia" w:ascii="仿宋" w:hAnsi="仿宋" w:eastAsia="仿宋" w:cs="微软雅黑"/>
        </w:rPr>
        <w:t xml:space="preserve"> </w:t>
      </w:r>
      <w:r>
        <w:rPr>
          <w:rFonts w:ascii="仿宋" w:hAnsi="仿宋" w:eastAsia="仿宋" w:cs="微软雅黑"/>
        </w:rPr>
        <w:t xml:space="preserve">         7</w:t>
      </w:r>
      <w:r>
        <w:rPr>
          <w:rFonts w:hint="eastAsia" w:ascii="仿宋" w:hAnsi="仿宋" w:eastAsia="仿宋" w:cs="微软雅黑"/>
        </w:rPr>
        <w:t>月2</w:t>
      </w:r>
      <w:r>
        <w:rPr>
          <w:rFonts w:ascii="仿宋" w:hAnsi="仿宋" w:eastAsia="仿宋" w:cs="微软雅黑"/>
        </w:rPr>
        <w:t>0</w:t>
      </w:r>
      <w:r>
        <w:rPr>
          <w:rFonts w:hint="eastAsia" w:ascii="仿宋" w:hAnsi="仿宋" w:eastAsia="仿宋" w:cs="微软雅黑"/>
        </w:rPr>
        <w:t>日-</w:t>
      </w:r>
      <w:r>
        <w:rPr>
          <w:rFonts w:ascii="仿宋" w:hAnsi="仿宋" w:eastAsia="仿宋" w:cs="微软雅黑"/>
        </w:rPr>
        <w:t>8</w:t>
      </w:r>
      <w:r>
        <w:rPr>
          <w:rFonts w:hint="eastAsia" w:ascii="仿宋" w:hAnsi="仿宋" w:eastAsia="仿宋" w:cs="微软雅黑"/>
        </w:rPr>
        <w:t>月1</w:t>
      </w:r>
      <w:r>
        <w:rPr>
          <w:rFonts w:ascii="仿宋" w:hAnsi="仿宋" w:eastAsia="仿宋" w:cs="微软雅黑"/>
        </w:rPr>
        <w:t>8</w:t>
      </w:r>
      <w:r>
        <w:rPr>
          <w:rFonts w:hint="eastAsia" w:ascii="仿宋" w:hAnsi="仿宋" w:eastAsia="仿宋" w:cs="微软雅黑"/>
        </w:rPr>
        <w:t>日（3</w:t>
      </w:r>
      <w:r>
        <w:rPr>
          <w:rFonts w:ascii="仿宋" w:hAnsi="仿宋" w:eastAsia="仿宋" w:cs="微软雅黑"/>
        </w:rPr>
        <w:t>0</w:t>
      </w:r>
      <w:r>
        <w:rPr>
          <w:rFonts w:hint="eastAsia" w:ascii="仿宋" w:hAnsi="仿宋" w:eastAsia="仿宋" w:cs="微软雅黑"/>
        </w:rPr>
        <w:t>天）</w:t>
      </w:r>
    </w:p>
    <w:p>
      <w:pPr>
        <w:spacing w:line="360" w:lineRule="auto"/>
        <w:rPr>
          <w:rFonts w:ascii="仿宋" w:hAnsi="仿宋" w:eastAsia="仿宋" w:cs="微软雅黑"/>
        </w:rPr>
      </w:pPr>
      <w:r>
        <w:rPr>
          <w:rStyle w:val="8"/>
          <w:rFonts w:hint="eastAsia" w:ascii="仿宋" w:hAnsi="仿宋" w:eastAsia="仿宋"/>
          <w:bCs/>
          <w:color w:val="333F50" w:themeColor="text2" w:themeShade="BF"/>
        </w:rPr>
        <w:t>项目地点：</w:t>
      </w:r>
      <w:r>
        <w:rPr>
          <w:rFonts w:hint="eastAsia" w:ascii="仿宋" w:hAnsi="仿宋" w:eastAsia="仿宋" w:cs="微软雅黑"/>
        </w:rPr>
        <w:t>洛杉矶地区及周边、旧金山地区及周边</w:t>
      </w:r>
    </w:p>
    <w:p>
      <w:pPr>
        <w:spacing w:line="360" w:lineRule="auto"/>
        <w:rPr>
          <w:rFonts w:ascii="仿宋" w:hAnsi="仿宋" w:eastAsia="仿宋" w:cs="微软雅黑"/>
        </w:rPr>
      </w:pPr>
      <w:r>
        <w:rPr>
          <w:rStyle w:val="8"/>
          <w:rFonts w:hint="eastAsia" w:ascii="仿宋" w:hAnsi="仿宋" w:eastAsia="仿宋"/>
          <w:bCs/>
          <w:color w:val="333F50" w:themeColor="text2" w:themeShade="BF"/>
        </w:rPr>
        <w:t>上课安排：</w:t>
      </w:r>
      <w:r>
        <w:rPr>
          <w:rFonts w:hint="eastAsia" w:ascii="仿宋" w:hAnsi="仿宋" w:eastAsia="仿宋" w:cs="微软雅黑"/>
        </w:rPr>
        <w:t>加州大学洛杉矶分校（</w:t>
      </w:r>
      <w:r>
        <w:rPr>
          <w:rFonts w:ascii="仿宋" w:hAnsi="仿宋" w:eastAsia="仿宋" w:cs="微软雅黑"/>
        </w:rPr>
        <w:t>UCLA</w:t>
      </w:r>
      <w:r>
        <w:rPr>
          <w:rFonts w:hint="eastAsia" w:ascii="仿宋" w:hAnsi="仿宋" w:eastAsia="仿宋" w:cs="微软雅黑"/>
        </w:rPr>
        <w:t>）、加州</w:t>
      </w:r>
      <w:r>
        <w:rPr>
          <w:rFonts w:ascii="仿宋" w:hAnsi="仿宋" w:eastAsia="仿宋" w:cs="微软雅黑"/>
        </w:rPr>
        <w:t>大学河滨分校（UCR）</w:t>
      </w:r>
      <w:r>
        <w:rPr>
          <w:rFonts w:hint="eastAsia" w:ascii="仿宋" w:hAnsi="仿宋" w:eastAsia="仿宋" w:cs="微软雅黑"/>
        </w:rPr>
        <w:t>、美国社区大学等</w:t>
      </w:r>
    </w:p>
    <w:p>
      <w:pPr>
        <w:spacing w:line="360" w:lineRule="auto"/>
        <w:rPr>
          <w:rFonts w:ascii="仿宋" w:hAnsi="仿宋" w:eastAsia="仿宋" w:cs="微软雅黑"/>
        </w:rPr>
      </w:pPr>
      <w:r>
        <w:rPr>
          <w:rStyle w:val="8"/>
          <w:rFonts w:hint="eastAsia" w:ascii="仿宋" w:hAnsi="仿宋" w:eastAsia="仿宋"/>
          <w:bCs/>
          <w:color w:val="333F50" w:themeColor="text2" w:themeShade="BF"/>
        </w:rPr>
        <w:t>住宿类型：</w:t>
      </w:r>
      <w:r>
        <w:rPr>
          <w:rFonts w:hint="eastAsia" w:ascii="仿宋" w:hAnsi="仿宋" w:eastAsia="仿宋" w:cs="微软雅黑"/>
        </w:rPr>
        <w:t>美国家庭</w:t>
      </w:r>
    </w:p>
    <w:p>
      <w:pPr>
        <w:spacing w:line="360" w:lineRule="auto"/>
        <w:rPr>
          <w:rFonts w:ascii="仿宋" w:hAnsi="仿宋" w:eastAsia="仿宋" w:cs="微软雅黑"/>
        </w:rPr>
      </w:pPr>
      <w:r>
        <w:rPr>
          <w:rStyle w:val="8"/>
          <w:rFonts w:hint="eastAsia" w:ascii="仿宋" w:hAnsi="仿宋" w:eastAsia="仿宋"/>
          <w:bCs/>
          <w:color w:val="333F50" w:themeColor="text2" w:themeShade="BF"/>
        </w:rPr>
        <w:t>餐食安排：</w:t>
      </w:r>
      <w:r>
        <w:rPr>
          <w:rFonts w:hint="eastAsia" w:ascii="仿宋" w:hAnsi="仿宋" w:eastAsia="仿宋" w:cs="微软雅黑"/>
        </w:rPr>
        <w:t>美国家庭提供一日三餐</w:t>
      </w:r>
    </w:p>
    <w:p>
      <w:pPr>
        <w:spacing w:line="480" w:lineRule="exact"/>
        <w:rPr>
          <w:rStyle w:val="8"/>
          <w:rFonts w:ascii="微软雅黑" w:hAnsi="微软雅黑" w:eastAsia="微软雅黑"/>
          <w:bCs/>
          <w:color w:val="C00000"/>
          <w:u w:val="single"/>
        </w:rPr>
      </w:pPr>
    </w:p>
    <w:p>
      <w:pPr>
        <w:rPr>
          <w:rFonts w:ascii="仿宋" w:hAnsi="仿宋" w:eastAsia="仿宋"/>
        </w:rPr>
      </w:pPr>
      <w:r>
        <w:rPr>
          <w:rStyle w:val="8"/>
          <w:rFonts w:hint="eastAsia" w:ascii="仿宋" w:hAnsi="仿宋" w:eastAsia="仿宋"/>
          <w:bCs/>
          <w:color w:val="C00000"/>
          <w:u w:val="single"/>
        </w:rPr>
        <w:t>行程主要内容：</w:t>
      </w:r>
      <w:r>
        <w:rPr>
          <w:rFonts w:hint="eastAsia" w:ascii="仿宋" w:hAnsi="仿宋" w:eastAsia="仿宋"/>
        </w:rPr>
        <w:t>（行程会根据企业要求而略有调整）</w:t>
      </w:r>
    </w:p>
    <w:p>
      <w:pPr>
        <w:pStyle w:val="5"/>
        <w:numPr>
          <w:ilvl w:val="0"/>
          <w:numId w:val="1"/>
        </w:numPr>
        <w:spacing w:before="200" w:beforeAutospacing="0" w:after="0" w:afterAutospacing="0"/>
        <w:jc w:val="both"/>
        <w:rPr>
          <w:rFonts w:ascii="仿宋" w:hAnsi="仿宋" w:eastAsia="仿宋" w:cs="微软雅黑"/>
          <w:kern w:val="2"/>
          <w:sz w:val="24"/>
          <w:szCs w:val="24"/>
        </w:rPr>
      </w:pPr>
      <w:r>
        <w:rPr>
          <w:rFonts w:hint="eastAsia" w:ascii="仿宋" w:hAnsi="仿宋" w:eastAsia="仿宋" w:cs="微软雅黑"/>
          <w:kern w:val="2"/>
          <w:sz w:val="24"/>
          <w:szCs w:val="24"/>
        </w:rPr>
        <w:t>美国加州</w:t>
      </w:r>
      <w:r>
        <w:rPr>
          <w:rFonts w:ascii="仿宋" w:hAnsi="仿宋" w:eastAsia="仿宋" w:cs="微软雅黑"/>
          <w:kern w:val="2"/>
          <w:sz w:val="24"/>
          <w:szCs w:val="24"/>
        </w:rPr>
        <w:t>UC</w:t>
      </w:r>
      <w:r>
        <w:rPr>
          <w:rFonts w:hint="eastAsia" w:ascii="仿宋" w:hAnsi="仿宋" w:eastAsia="仿宋" w:cs="微软雅黑"/>
          <w:kern w:val="2"/>
          <w:sz w:val="24"/>
          <w:szCs w:val="24"/>
        </w:rPr>
        <w:t>大学和美国社区大学学习与交流</w:t>
      </w:r>
    </w:p>
    <w:p>
      <w:pPr>
        <w:pStyle w:val="5"/>
        <w:numPr>
          <w:ilvl w:val="0"/>
          <w:numId w:val="1"/>
        </w:numPr>
        <w:spacing w:before="200" w:beforeAutospacing="0" w:after="0" w:afterAutospacing="0"/>
        <w:jc w:val="both"/>
        <w:rPr>
          <w:rFonts w:ascii="仿宋" w:hAnsi="仿宋" w:eastAsia="仿宋" w:cs="微软雅黑"/>
          <w:kern w:val="2"/>
          <w:sz w:val="24"/>
          <w:szCs w:val="24"/>
        </w:rPr>
      </w:pPr>
      <w:r>
        <w:rPr>
          <w:rFonts w:hint="eastAsia" w:ascii="仿宋" w:hAnsi="仿宋" w:eastAsia="仿宋" w:cs="微软雅黑"/>
          <w:kern w:val="2"/>
          <w:sz w:val="24"/>
          <w:szCs w:val="24"/>
        </w:rPr>
        <w:t>参访美国加州地区知名企业</w:t>
      </w:r>
    </w:p>
    <w:p>
      <w:pPr>
        <w:pStyle w:val="5"/>
        <w:numPr>
          <w:ilvl w:val="0"/>
          <w:numId w:val="1"/>
        </w:numPr>
        <w:spacing w:before="200" w:beforeAutospacing="0" w:after="0" w:afterAutospacing="0"/>
        <w:jc w:val="both"/>
        <w:rPr>
          <w:rFonts w:ascii="仿宋" w:hAnsi="仿宋" w:eastAsia="仿宋" w:cs="微软雅黑"/>
          <w:kern w:val="2"/>
          <w:sz w:val="24"/>
          <w:szCs w:val="24"/>
        </w:rPr>
      </w:pPr>
      <w:r>
        <w:rPr>
          <w:rFonts w:hint="eastAsia" w:ascii="仿宋" w:hAnsi="仿宋" w:eastAsia="仿宋" w:cs="微软雅黑"/>
          <w:kern w:val="2"/>
          <w:sz w:val="24"/>
          <w:szCs w:val="24"/>
        </w:rPr>
        <w:t>行业名企特邀嘉宾、教授讲座</w:t>
      </w:r>
    </w:p>
    <w:p>
      <w:pPr>
        <w:pStyle w:val="5"/>
        <w:numPr>
          <w:ilvl w:val="0"/>
          <w:numId w:val="1"/>
        </w:numPr>
        <w:spacing w:before="200" w:beforeAutospacing="0" w:after="0" w:afterAutospacing="0"/>
        <w:jc w:val="both"/>
        <w:rPr>
          <w:rFonts w:ascii="仿宋" w:hAnsi="仿宋" w:eastAsia="仿宋" w:cs="微软雅黑"/>
          <w:kern w:val="2"/>
          <w:sz w:val="24"/>
          <w:szCs w:val="24"/>
        </w:rPr>
      </w:pPr>
      <w:r>
        <w:rPr>
          <w:rFonts w:hint="eastAsia" w:ascii="仿宋" w:hAnsi="仿宋" w:eastAsia="仿宋" w:cs="微软雅黑"/>
          <w:kern w:val="2"/>
          <w:sz w:val="24"/>
          <w:szCs w:val="24"/>
        </w:rPr>
        <w:t>职业规划模拟面试</w:t>
      </w:r>
    </w:p>
    <w:p>
      <w:pPr>
        <w:pStyle w:val="5"/>
        <w:numPr>
          <w:ilvl w:val="0"/>
          <w:numId w:val="1"/>
        </w:numPr>
        <w:spacing w:before="200" w:beforeAutospacing="0" w:after="0" w:afterAutospacing="0"/>
        <w:jc w:val="both"/>
        <w:rPr>
          <w:rFonts w:ascii="仿宋" w:hAnsi="仿宋" w:eastAsia="仿宋" w:cs="微软雅黑"/>
          <w:kern w:val="2"/>
          <w:sz w:val="24"/>
          <w:szCs w:val="24"/>
        </w:rPr>
      </w:pPr>
      <w:r>
        <w:rPr>
          <w:rFonts w:hint="eastAsia" w:ascii="仿宋" w:hAnsi="仿宋" w:eastAsia="仿宋" w:cs="微软雅黑"/>
          <w:kern w:val="2"/>
          <w:sz w:val="24"/>
          <w:szCs w:val="24"/>
        </w:rPr>
        <w:t>课题训练展演</w:t>
      </w:r>
    </w:p>
    <w:p>
      <w:pPr>
        <w:pStyle w:val="5"/>
        <w:numPr>
          <w:ilvl w:val="0"/>
          <w:numId w:val="1"/>
        </w:numPr>
        <w:spacing w:before="200" w:beforeAutospacing="0" w:after="0" w:afterAutospacing="0"/>
        <w:jc w:val="both"/>
        <w:rPr>
          <w:rFonts w:ascii="仿宋" w:hAnsi="仿宋" w:eastAsia="仿宋" w:cs="微软雅黑"/>
          <w:kern w:val="2"/>
          <w:sz w:val="24"/>
          <w:szCs w:val="24"/>
        </w:rPr>
      </w:pPr>
      <w:r>
        <w:rPr>
          <w:rFonts w:hint="eastAsia" w:ascii="仿宋" w:hAnsi="仿宋" w:eastAsia="仿宋" w:cs="微软雅黑"/>
          <w:kern w:val="2"/>
          <w:sz w:val="24"/>
          <w:szCs w:val="24"/>
        </w:rPr>
        <w:t>结营成果汇报</w:t>
      </w:r>
    </w:p>
    <w:p>
      <w:pPr>
        <w:spacing w:line="480" w:lineRule="exact"/>
        <w:rPr>
          <w:rStyle w:val="8"/>
          <w:rFonts w:ascii="微软雅黑" w:hAnsi="微软雅黑" w:eastAsia="微软雅黑"/>
          <w:bCs/>
          <w:color w:val="C00000"/>
          <w:u w:val="single"/>
        </w:rPr>
      </w:pPr>
    </w:p>
    <w:p>
      <w:pPr>
        <w:spacing w:line="480" w:lineRule="exact"/>
        <w:rPr>
          <w:rStyle w:val="8"/>
          <w:rFonts w:ascii="仿宋" w:hAnsi="仿宋" w:eastAsia="仿宋"/>
          <w:bCs/>
          <w:color w:val="C00000"/>
          <w:u w:val="single"/>
        </w:rPr>
      </w:pPr>
      <w:r>
        <w:rPr>
          <w:rStyle w:val="8"/>
          <w:rFonts w:hint="eastAsia" w:ascii="仿宋" w:hAnsi="仿宋" w:eastAsia="仿宋"/>
          <w:bCs/>
          <w:color w:val="C00000"/>
          <w:u w:val="single"/>
        </w:rPr>
        <w:t>获得证书</w:t>
      </w:r>
    </w:p>
    <w:p>
      <w:pPr>
        <w:pStyle w:val="5"/>
        <w:numPr>
          <w:ilvl w:val="0"/>
          <w:numId w:val="1"/>
        </w:numPr>
        <w:spacing w:before="200" w:beforeAutospacing="0" w:after="0" w:afterAutospacing="0"/>
        <w:jc w:val="both"/>
        <w:rPr>
          <w:rFonts w:ascii="仿宋" w:hAnsi="仿宋" w:eastAsia="仿宋" w:cs="微软雅黑"/>
          <w:kern w:val="2"/>
          <w:sz w:val="24"/>
          <w:szCs w:val="24"/>
        </w:rPr>
      </w:pPr>
      <w:r>
        <w:rPr>
          <w:rFonts w:hint="eastAsia" w:ascii="仿宋" w:hAnsi="仿宋" w:eastAsia="仿宋" w:cs="微软雅黑"/>
          <w:kern w:val="2"/>
          <w:sz w:val="24"/>
          <w:szCs w:val="24"/>
        </w:rPr>
        <w:t>名校进名企实训证书</w:t>
      </w:r>
    </w:p>
    <w:p>
      <w:pPr>
        <w:pStyle w:val="5"/>
        <w:numPr>
          <w:ilvl w:val="0"/>
          <w:numId w:val="1"/>
        </w:numPr>
        <w:spacing w:before="200" w:beforeAutospacing="0" w:after="0" w:afterAutospacing="0"/>
        <w:jc w:val="both"/>
        <w:rPr>
          <w:rFonts w:ascii="宋体" w:hAnsi="宋体"/>
          <w:sz w:val="24"/>
          <w:szCs w:val="24"/>
        </w:rPr>
      </w:pPr>
      <w:r>
        <w:rPr>
          <w:rFonts w:ascii="仿宋" w:hAnsi="仿宋" w:eastAsia="仿宋" w:cs="微软雅黑"/>
          <w:kern w:val="2"/>
          <w:sz w:val="24"/>
          <w:szCs w:val="24"/>
        </w:rPr>
        <w:t>10</w:t>
      </w:r>
      <w:r>
        <w:rPr>
          <w:rFonts w:hint="eastAsia" w:ascii="仿宋" w:hAnsi="仿宋" w:eastAsia="仿宋" w:cs="微软雅黑"/>
          <w:kern w:val="2"/>
          <w:sz w:val="24"/>
          <w:szCs w:val="24"/>
        </w:rPr>
        <w:t>%～2</w:t>
      </w:r>
      <w:r>
        <w:rPr>
          <w:rFonts w:ascii="仿宋" w:hAnsi="仿宋" w:eastAsia="仿宋" w:cs="微软雅黑"/>
          <w:kern w:val="2"/>
          <w:sz w:val="24"/>
          <w:szCs w:val="24"/>
        </w:rPr>
        <w:t>0%</w:t>
      </w:r>
      <w:r>
        <w:rPr>
          <w:rFonts w:hint="eastAsia" w:ascii="仿宋" w:hAnsi="仿宋" w:eastAsia="仿宋" w:cs="微软雅黑"/>
          <w:kern w:val="2"/>
          <w:sz w:val="24"/>
          <w:szCs w:val="24"/>
        </w:rPr>
        <w:t>优秀学生可获得联合国工业发展组织全球创新网络项目智能产业促进中心实践证书</w:t>
      </w:r>
    </w:p>
    <w:p>
      <w:pPr>
        <w:pStyle w:val="5"/>
        <w:numPr>
          <w:ilvl w:val="0"/>
          <w:numId w:val="1"/>
        </w:numPr>
        <w:spacing w:before="200" w:beforeAutospacing="0" w:after="0" w:afterAutospacing="0"/>
        <w:jc w:val="both"/>
        <w:rPr>
          <w:rFonts w:ascii="仿宋" w:hAnsi="仿宋" w:eastAsia="仿宋" w:cs="微软雅黑"/>
          <w:kern w:val="2"/>
          <w:sz w:val="24"/>
          <w:szCs w:val="24"/>
        </w:rPr>
      </w:pPr>
      <w:r>
        <w:rPr>
          <w:rFonts w:hint="eastAsia" w:ascii="仿宋" w:hAnsi="仿宋" w:eastAsia="仿宋" w:cs="微软雅黑"/>
          <w:kern w:val="2"/>
          <w:sz w:val="24"/>
          <w:szCs w:val="24"/>
        </w:rPr>
        <w:t>美国项目方颁发参与证书或推荐信</w:t>
      </w:r>
    </w:p>
    <w:p>
      <w:pPr>
        <w:pStyle w:val="5"/>
        <w:spacing w:before="200" w:beforeAutospacing="0" w:after="0" w:afterAutospacing="0"/>
        <w:jc w:val="both"/>
        <w:rPr>
          <w:rStyle w:val="8"/>
          <w:rFonts w:ascii="仿宋" w:hAnsi="仿宋" w:eastAsia="仿宋" w:cs="微软雅黑"/>
          <w:b w:val="0"/>
          <w:kern w:val="2"/>
          <w:sz w:val="24"/>
          <w:szCs w:val="24"/>
        </w:rPr>
      </w:pPr>
    </w:p>
    <w:p>
      <w:pPr>
        <w:rPr>
          <w:rStyle w:val="8"/>
          <w:rFonts w:ascii="仿宋" w:hAnsi="仿宋" w:eastAsia="仿宋"/>
          <w:bCs/>
          <w:color w:val="2F5597" w:themeColor="accent5" w:themeShade="BF"/>
        </w:rPr>
      </w:pPr>
      <w:r>
        <w:rPr>
          <w:rStyle w:val="8"/>
          <w:rFonts w:hint="eastAsia" w:ascii="仿宋" w:hAnsi="仿宋" w:eastAsia="仿宋"/>
          <w:bCs/>
          <w:color w:val="2F5597" w:themeColor="accent5" w:themeShade="BF"/>
        </w:rPr>
        <w:t>寄宿家庭</w:t>
      </w:r>
    </w:p>
    <w:p>
      <w:pPr>
        <w:spacing w:line="480" w:lineRule="exact"/>
        <w:rPr>
          <w:rFonts w:ascii="仿宋" w:hAnsi="仿宋" w:eastAsia="仿宋" w:cs="微软雅黑"/>
        </w:rPr>
      </w:pPr>
      <w:r>
        <w:rPr>
          <w:rStyle w:val="8"/>
          <w:rFonts w:hint="eastAsia" w:ascii="仿宋" w:hAnsi="仿宋" w:eastAsia="仿宋"/>
          <w:bCs/>
          <w:color w:val="333F50" w:themeColor="text2" w:themeShade="BF"/>
        </w:rPr>
        <w:drawing>
          <wp:anchor distT="0" distB="0" distL="114300" distR="114300" simplePos="0" relativeHeight="251659264" behindDoc="1" locked="0" layoutInCell="1" allowOverlap="1">
            <wp:simplePos x="0" y="0"/>
            <wp:positionH relativeFrom="column">
              <wp:posOffset>4771390</wp:posOffset>
            </wp:positionH>
            <wp:positionV relativeFrom="paragraph">
              <wp:posOffset>106680</wp:posOffset>
            </wp:positionV>
            <wp:extent cx="1817370" cy="1988185"/>
            <wp:effectExtent l="0" t="0" r="0" b="5715"/>
            <wp:wrapTight wrapText="bothSides">
              <wp:wrapPolygon>
                <wp:start x="0" y="0"/>
                <wp:lineTo x="0" y="21524"/>
                <wp:lineTo x="21434" y="21524"/>
                <wp:lineTo x="21434" y="0"/>
                <wp:lineTo x="0" y="0"/>
              </wp:wrapPolygon>
            </wp:wrapTight>
            <wp:docPr id="15" name="图片 15" descr="王剑雄  白雨晴   照片IMG_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王剑雄  白雨晴   照片IMG_1545"/>
                    <pic:cNvPicPr>
                      <a:picLocks noChangeAspect="1"/>
                    </pic:cNvPicPr>
                  </pic:nvPicPr>
                  <pic:blipFill>
                    <a:blip r:embed="rId11"/>
                    <a:stretch>
                      <a:fillRect/>
                    </a:stretch>
                  </pic:blipFill>
                  <pic:spPr>
                    <a:xfrm>
                      <a:off x="0" y="0"/>
                      <a:ext cx="1817370" cy="1988185"/>
                    </a:xfrm>
                    <a:prstGeom prst="rect">
                      <a:avLst/>
                    </a:prstGeom>
                  </pic:spPr>
                </pic:pic>
              </a:graphicData>
            </a:graphic>
          </wp:anchor>
        </w:drawing>
      </w:r>
      <w:r>
        <w:rPr>
          <w:rFonts w:hint="eastAsia" w:ascii="仿宋" w:hAnsi="仿宋" w:eastAsia="仿宋" w:cs="微软雅黑"/>
        </w:rPr>
        <w:t xml:space="preserve">    美国接待家庭(Host family)是名校进名企美国访学项目的重要组成部分，也称寄宿家庭、志愿者家庭。学生在美国接待家庭的生活将成为一生难忘的回忆，是名校进名企项目过程中最温情最感动的一幕。在学生时代，有机会与美国家庭零距离接触，深入了解美国家庭文化，对于大学生今后整个人生都将是意义非凡。</w:t>
      </w:r>
    </w:p>
    <w:p>
      <w:pPr>
        <w:spacing w:line="480" w:lineRule="exact"/>
        <w:rPr>
          <w:rFonts w:ascii="仿宋" w:hAnsi="仿宋" w:eastAsia="仿宋" w:cs="微软雅黑"/>
        </w:rPr>
      </w:pPr>
      <w:r>
        <w:rPr>
          <w:rFonts w:hint="eastAsia" w:ascii="仿宋" w:hAnsi="仿宋" w:eastAsia="仿宋" w:cs="微软雅黑"/>
        </w:rPr>
        <w:t xml:space="preserve">     参加名校进名企美国访学项目，需要你全身心的融入美国家庭及社区，你能体会到美国人的饮食起居和待人接物的方式，了解到美国的社会、文化和经济生活的方方面面。家庭和社区的生活可以帮助您了解美国文化传统、生活方式和价值观念。学习宽容的态度、开明的观念的互敬的言语和行为，体验到东西方文化的细微差异，建立跨文化的观念和态度。</w:t>
      </w:r>
    </w:p>
    <w:p>
      <w:pPr>
        <w:spacing w:line="480" w:lineRule="exact"/>
        <w:rPr>
          <w:rStyle w:val="8"/>
          <w:rFonts w:ascii="微软雅黑" w:hAnsi="微软雅黑" w:eastAsia="微软雅黑"/>
          <w:bCs/>
          <w:color w:val="333F50" w:themeColor="text2" w:themeShade="BF"/>
        </w:rPr>
      </w:pPr>
    </w:p>
    <w:p>
      <w:pPr>
        <w:spacing w:line="480" w:lineRule="exact"/>
        <w:rPr>
          <w:rStyle w:val="8"/>
          <w:rFonts w:ascii="仿宋" w:hAnsi="仿宋" w:eastAsia="仿宋"/>
          <w:bCs/>
          <w:color w:val="2F5597" w:themeColor="accent5" w:themeShade="BF"/>
        </w:rPr>
      </w:pPr>
      <w:r>
        <w:rPr>
          <w:rStyle w:val="8"/>
          <w:rFonts w:hint="eastAsia" w:ascii="仿宋" w:hAnsi="仿宋" w:eastAsia="仿宋"/>
          <w:bCs/>
          <w:color w:val="2F5597" w:themeColor="accent5" w:themeShade="BF"/>
        </w:rPr>
        <w:t>寄宿家庭优势</w:t>
      </w:r>
    </w:p>
    <w:p>
      <w:pPr>
        <w:numPr>
          <w:ilvl w:val="0"/>
          <w:numId w:val="2"/>
        </w:numPr>
        <w:spacing w:line="480" w:lineRule="exact"/>
        <w:rPr>
          <w:rFonts w:ascii="仿宋" w:hAnsi="仿宋" w:eastAsia="仿宋" w:cs="微软雅黑"/>
        </w:rPr>
      </w:pPr>
      <w:r>
        <w:rPr>
          <w:rFonts w:hint="eastAsia" w:ascii="仿宋" w:hAnsi="仿宋" w:eastAsia="仿宋" w:cs="微软雅黑"/>
        </w:rPr>
        <w:t>良好的语言环境，有助于更快地提升英文水平；</w:t>
      </w:r>
    </w:p>
    <w:p>
      <w:pPr>
        <w:numPr>
          <w:ilvl w:val="0"/>
          <w:numId w:val="2"/>
        </w:numPr>
        <w:spacing w:line="480" w:lineRule="exact"/>
        <w:rPr>
          <w:rFonts w:ascii="仿宋" w:hAnsi="仿宋" w:eastAsia="仿宋" w:cs="微软雅黑"/>
        </w:rPr>
      </w:pPr>
      <w:r>
        <w:rPr>
          <w:rFonts w:hint="eastAsia" w:ascii="仿宋" w:hAnsi="仿宋" w:eastAsia="仿宋" w:cs="微软雅黑"/>
        </w:rPr>
        <w:t>直接接触美国家庭，更快地融入当地生活；</w:t>
      </w:r>
    </w:p>
    <w:p>
      <w:pPr>
        <w:numPr>
          <w:ilvl w:val="0"/>
          <w:numId w:val="2"/>
        </w:numPr>
        <w:spacing w:line="480" w:lineRule="exact"/>
        <w:rPr>
          <w:rFonts w:ascii="仿宋" w:hAnsi="仿宋" w:eastAsia="仿宋" w:cs="微软雅黑"/>
        </w:rPr>
      </w:pPr>
      <w:r>
        <w:rPr>
          <w:rFonts w:hint="eastAsia" w:ascii="仿宋" w:hAnsi="仿宋" w:eastAsia="仿宋" w:cs="微软雅黑"/>
        </w:rPr>
        <w:t>可以更全面地了解美国文化，体味原汁原味的美国生活；</w:t>
      </w:r>
    </w:p>
    <w:p>
      <w:pPr>
        <w:numPr>
          <w:ilvl w:val="0"/>
          <w:numId w:val="2"/>
        </w:numPr>
        <w:spacing w:line="480" w:lineRule="exact"/>
        <w:rPr>
          <w:rFonts w:ascii="仿宋" w:hAnsi="仿宋" w:eastAsia="仿宋" w:cs="微软雅黑"/>
        </w:rPr>
      </w:pPr>
      <w:r>
        <w:rPr>
          <w:rFonts w:hint="eastAsia" w:ascii="仿宋" w:hAnsi="仿宋" w:eastAsia="仿宋" w:cs="微软雅黑"/>
        </w:rPr>
        <w:t>在异国他乡体验家的温暖，获得心灵上的慰藉。</w:t>
      </w:r>
    </w:p>
    <w:p>
      <w:pPr>
        <w:numPr>
          <w:ilvl w:val="0"/>
          <w:numId w:val="2"/>
        </w:numPr>
        <w:spacing w:line="480" w:lineRule="exact"/>
        <w:rPr>
          <w:rFonts w:ascii="仿宋" w:hAnsi="仿宋" w:eastAsia="仿宋" w:cs="微软雅黑"/>
        </w:rPr>
      </w:pPr>
      <w:r>
        <w:rPr>
          <w:rFonts w:hint="eastAsia" w:ascii="仿宋" w:hAnsi="仿宋" w:eastAsia="仿宋" w:cs="微软雅黑"/>
        </w:rPr>
        <w:t>国际友谊，可以与“美爸美妈“以及同住的国际学生交朋友。</w:t>
      </w:r>
    </w:p>
    <w:p>
      <w:pPr>
        <w:spacing w:line="480" w:lineRule="exact"/>
        <w:ind w:left="425"/>
        <w:rPr>
          <w:rStyle w:val="8"/>
          <w:rFonts w:ascii="仿宋" w:hAnsi="仿宋" w:eastAsia="仿宋" w:cs="微软雅黑"/>
          <w:b w:val="0"/>
        </w:rPr>
      </w:pPr>
      <w:r>
        <w:rPr>
          <w:rStyle w:val="8"/>
          <w:rFonts w:hint="eastAsia" w:ascii="微软雅黑" w:hAnsi="微软雅黑" w:eastAsia="微软雅黑"/>
          <w:bCs/>
          <w:color w:val="333F50" w:themeColor="text2" w:themeShade="BF"/>
        </w:rPr>
        <w:drawing>
          <wp:anchor distT="0" distB="0" distL="114300" distR="114300" simplePos="0" relativeHeight="251662336" behindDoc="1" locked="0" layoutInCell="1" allowOverlap="1">
            <wp:simplePos x="0" y="0"/>
            <wp:positionH relativeFrom="column">
              <wp:posOffset>-66675</wp:posOffset>
            </wp:positionH>
            <wp:positionV relativeFrom="paragraph">
              <wp:posOffset>222885</wp:posOffset>
            </wp:positionV>
            <wp:extent cx="2160270" cy="1440180"/>
            <wp:effectExtent l="0" t="0" r="11430" b="26670"/>
            <wp:wrapTight wrapText="bothSides">
              <wp:wrapPolygon>
                <wp:start x="0" y="0"/>
                <wp:lineTo x="0" y="21429"/>
                <wp:lineTo x="21333" y="21429"/>
                <wp:lineTo x="21333" y="0"/>
                <wp:lineTo x="0" y="0"/>
              </wp:wrapPolygon>
            </wp:wrapTight>
            <wp:docPr id="18" name="图片 18" descr="QQ图片20160802105229"/>
            <wp:cNvGraphicFramePr/>
            <a:graphic xmlns:a="http://schemas.openxmlformats.org/drawingml/2006/main">
              <a:graphicData uri="http://schemas.openxmlformats.org/drawingml/2006/picture">
                <pic:pic xmlns:pic="http://schemas.openxmlformats.org/drawingml/2006/picture">
                  <pic:nvPicPr>
                    <pic:cNvPr id="18" name="图片 18" descr="QQ图片20160802105229"/>
                    <pic:cNvPicPr/>
                  </pic:nvPicPr>
                  <pic:blipFill>
                    <a:blip r:embed="rId12"/>
                    <a:stretch>
                      <a:fillRect/>
                    </a:stretch>
                  </pic:blipFill>
                  <pic:spPr>
                    <a:xfrm>
                      <a:off x="0" y="0"/>
                      <a:ext cx="2160270" cy="1440180"/>
                    </a:xfrm>
                    <a:prstGeom prst="rect">
                      <a:avLst/>
                    </a:prstGeom>
                  </pic:spPr>
                </pic:pic>
              </a:graphicData>
            </a:graphic>
          </wp:anchor>
        </w:drawing>
      </w:r>
      <w:r>
        <w:rPr>
          <w:rStyle w:val="8"/>
          <w:rFonts w:hint="eastAsia" w:ascii="微软雅黑" w:hAnsi="微软雅黑" w:eastAsia="微软雅黑"/>
          <w:bCs/>
          <w:color w:val="333F50" w:themeColor="text2" w:themeShade="BF"/>
        </w:rPr>
        <w:drawing>
          <wp:anchor distT="0" distB="0" distL="114300" distR="114300" simplePos="0" relativeHeight="251661312" behindDoc="1" locked="0" layoutInCell="1" allowOverlap="1">
            <wp:simplePos x="0" y="0"/>
            <wp:positionH relativeFrom="column">
              <wp:posOffset>4371975</wp:posOffset>
            </wp:positionH>
            <wp:positionV relativeFrom="paragraph">
              <wp:posOffset>220980</wp:posOffset>
            </wp:positionV>
            <wp:extent cx="2160270" cy="1440180"/>
            <wp:effectExtent l="0" t="0" r="49530" b="7620"/>
            <wp:wrapTight wrapText="bothSides">
              <wp:wrapPolygon>
                <wp:start x="0" y="0"/>
                <wp:lineTo x="0" y="21429"/>
                <wp:lineTo x="21333" y="21429"/>
                <wp:lineTo x="21333" y="0"/>
                <wp:lineTo x="0" y="0"/>
              </wp:wrapPolygon>
            </wp:wrapTight>
            <wp:docPr id="17" name="图片 17" descr="QQ图片20160801121803"/>
            <wp:cNvGraphicFramePr/>
            <a:graphic xmlns:a="http://schemas.openxmlformats.org/drawingml/2006/main">
              <a:graphicData uri="http://schemas.openxmlformats.org/drawingml/2006/picture">
                <pic:pic xmlns:pic="http://schemas.openxmlformats.org/drawingml/2006/picture">
                  <pic:nvPicPr>
                    <pic:cNvPr id="17" name="图片 17" descr="QQ图片20160801121803"/>
                    <pic:cNvPicPr/>
                  </pic:nvPicPr>
                  <pic:blipFill>
                    <a:blip r:embed="rId13"/>
                    <a:stretch>
                      <a:fillRect/>
                    </a:stretch>
                  </pic:blipFill>
                  <pic:spPr>
                    <a:xfrm>
                      <a:off x="0" y="0"/>
                      <a:ext cx="2160270" cy="1440180"/>
                    </a:xfrm>
                    <a:prstGeom prst="rect">
                      <a:avLst/>
                    </a:prstGeom>
                  </pic:spPr>
                </pic:pic>
              </a:graphicData>
            </a:graphic>
          </wp:anchor>
        </w:drawing>
      </w:r>
      <w:r>
        <w:rPr>
          <w:rStyle w:val="8"/>
          <w:rFonts w:hint="eastAsia" w:ascii="微软雅黑" w:hAnsi="微软雅黑" w:eastAsia="微软雅黑"/>
          <w:bCs/>
          <w:color w:val="333F50" w:themeColor="text2" w:themeShade="BF"/>
        </w:rPr>
        <w:drawing>
          <wp:anchor distT="0" distB="0" distL="114300" distR="114300" simplePos="0" relativeHeight="251660288" behindDoc="1" locked="0" layoutInCell="1" allowOverlap="1">
            <wp:simplePos x="0" y="0"/>
            <wp:positionH relativeFrom="column">
              <wp:posOffset>2158365</wp:posOffset>
            </wp:positionH>
            <wp:positionV relativeFrom="paragraph">
              <wp:posOffset>220980</wp:posOffset>
            </wp:positionV>
            <wp:extent cx="2160270" cy="1440180"/>
            <wp:effectExtent l="0" t="0" r="11430" b="45720"/>
            <wp:wrapTight wrapText="bothSides">
              <wp:wrapPolygon>
                <wp:start x="0" y="0"/>
                <wp:lineTo x="0" y="21429"/>
                <wp:lineTo x="21333" y="21429"/>
                <wp:lineTo x="21333" y="0"/>
                <wp:lineTo x="0" y="0"/>
              </wp:wrapPolygon>
            </wp:wrapTight>
            <wp:docPr id="16" name="图片 16" descr="33506C14D59D36ADE1238888034C4BFE"/>
            <wp:cNvGraphicFramePr/>
            <a:graphic xmlns:a="http://schemas.openxmlformats.org/drawingml/2006/main">
              <a:graphicData uri="http://schemas.openxmlformats.org/drawingml/2006/picture">
                <pic:pic xmlns:pic="http://schemas.openxmlformats.org/drawingml/2006/picture">
                  <pic:nvPicPr>
                    <pic:cNvPr id="16" name="图片 16" descr="33506C14D59D36ADE1238888034C4BFE"/>
                    <pic:cNvPicPr/>
                  </pic:nvPicPr>
                  <pic:blipFill>
                    <a:blip r:embed="rId14"/>
                    <a:stretch>
                      <a:fillRect/>
                    </a:stretch>
                  </pic:blipFill>
                  <pic:spPr>
                    <a:xfrm>
                      <a:off x="0" y="0"/>
                      <a:ext cx="2160270" cy="1440180"/>
                    </a:xfrm>
                    <a:prstGeom prst="rect">
                      <a:avLst/>
                    </a:prstGeom>
                  </pic:spPr>
                </pic:pic>
              </a:graphicData>
            </a:graphic>
          </wp:anchor>
        </w:drawing>
      </w:r>
    </w:p>
    <w:p>
      <w:pPr>
        <w:spacing w:line="360" w:lineRule="auto"/>
        <w:rPr>
          <w:rStyle w:val="8"/>
          <w:rFonts w:ascii="仿宋" w:hAnsi="仿宋" w:eastAsia="仿宋"/>
          <w:bCs/>
          <w:color w:val="333F50" w:themeColor="text2" w:themeShade="BF"/>
        </w:rPr>
      </w:pPr>
      <w:r>
        <w:rPr>
          <w:rStyle w:val="8"/>
          <w:rFonts w:hint="eastAsia" w:ascii="仿宋" w:hAnsi="仿宋" w:eastAsia="仿宋"/>
          <w:bCs/>
          <w:color w:val="333F50" w:themeColor="text2" w:themeShade="BF"/>
        </w:rPr>
        <w:t>费用说明：</w:t>
      </w:r>
    </w:p>
    <w:p>
      <w:pPr>
        <w:numPr>
          <w:ilvl w:val="0"/>
          <w:numId w:val="3"/>
        </w:numPr>
        <w:spacing w:line="400" w:lineRule="exact"/>
        <w:rPr>
          <w:rFonts w:ascii="仿宋" w:hAnsi="仿宋" w:eastAsia="仿宋" w:cs="微软雅黑"/>
        </w:rPr>
      </w:pPr>
      <w:r>
        <w:rPr>
          <w:rFonts w:hint="eastAsia" w:ascii="仿宋" w:hAnsi="仿宋" w:eastAsia="仿宋" w:cs="微软雅黑"/>
        </w:rPr>
        <w:t>申请服务费：</w:t>
      </w:r>
      <w:r>
        <w:rPr>
          <w:rFonts w:ascii="仿宋" w:hAnsi="仿宋" w:eastAsia="仿宋" w:cs="微软雅黑"/>
        </w:rPr>
        <w:t>30</w:t>
      </w:r>
      <w:r>
        <w:rPr>
          <w:rFonts w:hint="eastAsia" w:ascii="仿宋" w:hAnsi="仿宋" w:eastAsia="仿宋" w:cs="微软雅黑"/>
        </w:rPr>
        <w:t>00元人民币</w:t>
      </w:r>
    </w:p>
    <w:p>
      <w:pPr>
        <w:numPr>
          <w:ilvl w:val="0"/>
          <w:numId w:val="3"/>
        </w:numPr>
        <w:spacing w:line="400" w:lineRule="exact"/>
        <w:rPr>
          <w:rFonts w:ascii="仿宋" w:hAnsi="仿宋" w:eastAsia="仿宋" w:cs="微软雅黑"/>
          <w:b/>
          <w:bCs/>
        </w:rPr>
      </w:pPr>
      <w:r>
        <w:rPr>
          <w:rFonts w:hint="eastAsia" w:ascii="仿宋" w:hAnsi="仿宋" w:eastAsia="仿宋" w:cs="微软雅黑"/>
        </w:rPr>
        <w:t>项目费：</w:t>
      </w:r>
      <w:r>
        <w:rPr>
          <w:rFonts w:ascii="仿宋" w:hAnsi="仿宋" w:eastAsia="仿宋" w:cs="微软雅黑"/>
          <w:b/>
          <w:bCs/>
        </w:rPr>
        <w:t>3980</w:t>
      </w:r>
      <w:r>
        <w:rPr>
          <w:rFonts w:hint="eastAsia" w:ascii="仿宋" w:hAnsi="仿宋" w:eastAsia="仿宋" w:cs="微软雅黑"/>
          <w:b/>
          <w:bCs/>
        </w:rPr>
        <w:t>美金（2</w:t>
      </w:r>
      <w:r>
        <w:rPr>
          <w:rFonts w:ascii="仿宋" w:hAnsi="仿宋" w:eastAsia="仿宋" w:cs="微软雅黑"/>
          <w:b/>
          <w:bCs/>
        </w:rPr>
        <w:t>1</w:t>
      </w:r>
      <w:r>
        <w:rPr>
          <w:rFonts w:hint="eastAsia" w:ascii="仿宋" w:hAnsi="仿宋" w:eastAsia="仿宋" w:cs="微软雅黑"/>
          <w:b/>
          <w:bCs/>
        </w:rPr>
        <w:t>天）</w:t>
      </w:r>
    </w:p>
    <w:p>
      <w:pPr>
        <w:spacing w:line="400" w:lineRule="exact"/>
        <w:ind w:left="420"/>
        <w:rPr>
          <w:rStyle w:val="8"/>
          <w:rFonts w:ascii="仿宋" w:hAnsi="仿宋" w:eastAsia="仿宋" w:cs="微软雅黑"/>
          <w:b w:val="0"/>
          <w:bCs/>
        </w:rPr>
      </w:pPr>
      <w:r>
        <w:rPr>
          <w:rFonts w:ascii="仿宋" w:hAnsi="仿宋" w:eastAsia="仿宋" w:cs="微软雅黑"/>
        </w:rPr>
        <w:t xml:space="preserve">        </w:t>
      </w:r>
      <w:r>
        <w:rPr>
          <w:rFonts w:hint="eastAsia" w:ascii="仿宋" w:hAnsi="仿宋" w:eastAsia="仿宋" w:cs="微软雅黑"/>
          <w:b/>
          <w:bCs/>
        </w:rPr>
        <w:t>4</w:t>
      </w:r>
      <w:r>
        <w:rPr>
          <w:rFonts w:ascii="仿宋" w:hAnsi="仿宋" w:eastAsia="仿宋" w:cs="微软雅黑"/>
          <w:b/>
          <w:bCs/>
        </w:rPr>
        <w:t>980</w:t>
      </w:r>
      <w:r>
        <w:rPr>
          <w:rFonts w:hint="eastAsia" w:ascii="仿宋" w:hAnsi="仿宋" w:eastAsia="仿宋" w:cs="微软雅黑"/>
          <w:b/>
          <w:bCs/>
        </w:rPr>
        <w:t>美金（3</w:t>
      </w:r>
      <w:r>
        <w:rPr>
          <w:rFonts w:ascii="仿宋" w:hAnsi="仿宋" w:eastAsia="仿宋" w:cs="微软雅黑"/>
          <w:b/>
          <w:bCs/>
        </w:rPr>
        <w:t>0</w:t>
      </w:r>
      <w:r>
        <w:rPr>
          <w:rFonts w:hint="eastAsia" w:ascii="仿宋" w:hAnsi="仿宋" w:eastAsia="仿宋" w:cs="微软雅黑"/>
          <w:b/>
          <w:bCs/>
        </w:rPr>
        <w:t>天）</w:t>
      </w:r>
    </w:p>
    <w:p>
      <w:pPr>
        <w:numPr>
          <w:ilvl w:val="0"/>
          <w:numId w:val="3"/>
        </w:numPr>
        <w:spacing w:line="400" w:lineRule="exact"/>
        <w:rPr>
          <w:rFonts w:ascii="仿宋" w:hAnsi="仿宋" w:eastAsia="仿宋" w:cs="微软雅黑"/>
        </w:rPr>
      </w:pPr>
      <w:r>
        <w:rPr>
          <w:rFonts w:hint="eastAsia" w:ascii="仿宋" w:hAnsi="仿宋" w:eastAsia="仿宋" w:cs="微软雅黑"/>
        </w:rPr>
        <w:t xml:space="preserve">费用包含：项目期间住宿费、项目期间交通费、项目期间 Home-stay 餐费、签证预约及指导、行前辅导、意外伤害保险、项目安排、嘉宾讲座、名企参访、场地、教材等费用 </w:t>
      </w:r>
    </w:p>
    <w:p>
      <w:pPr>
        <w:pStyle w:val="11"/>
        <w:numPr>
          <w:ilvl w:val="0"/>
          <w:numId w:val="3"/>
        </w:numPr>
        <w:ind w:firstLineChars="0"/>
        <w:rPr>
          <w:rFonts w:ascii="仿宋" w:hAnsi="仿宋" w:eastAsia="仿宋" w:cs="微软雅黑"/>
        </w:rPr>
      </w:pPr>
      <w:r>
        <w:rPr>
          <w:rFonts w:hint="eastAsia" w:ascii="仿宋" w:hAnsi="仿宋" w:eastAsia="仿宋" w:cs="微软雅黑"/>
        </w:rPr>
        <w:t>费用不含：中美往返机票、签证费、项目期间个人消费以及因个人需求产生的额外费用等。</w:t>
      </w:r>
    </w:p>
    <w:p>
      <w:pPr>
        <w:rPr>
          <w:rStyle w:val="8"/>
          <w:rFonts w:ascii="仿宋" w:hAnsi="仿宋" w:eastAsia="仿宋"/>
          <w:bCs/>
          <w:color w:val="333F50" w:themeColor="text2" w:themeShade="BF"/>
        </w:rPr>
      </w:pPr>
      <w:r>
        <w:rPr>
          <w:rStyle w:val="8"/>
          <w:rFonts w:hint="eastAsia" w:ascii="仿宋" w:hAnsi="仿宋" w:eastAsia="仿宋"/>
          <w:bCs/>
          <w:color w:val="333F50" w:themeColor="text2" w:themeShade="BF"/>
        </w:rPr>
        <w:drawing>
          <wp:anchor distT="0" distB="0" distL="114300" distR="114300" simplePos="0" relativeHeight="251669504" behindDoc="1" locked="0" layoutInCell="1" allowOverlap="1">
            <wp:simplePos x="0" y="0"/>
            <wp:positionH relativeFrom="column">
              <wp:posOffset>4349115</wp:posOffset>
            </wp:positionH>
            <wp:positionV relativeFrom="paragraph">
              <wp:posOffset>61595</wp:posOffset>
            </wp:positionV>
            <wp:extent cx="1602105" cy="1837055"/>
            <wp:effectExtent l="0" t="0" r="0" b="4445"/>
            <wp:wrapTight wrapText="bothSides">
              <wp:wrapPolygon>
                <wp:start x="0" y="0"/>
                <wp:lineTo x="0" y="21503"/>
                <wp:lineTo x="21403" y="21503"/>
                <wp:lineTo x="21403" y="0"/>
                <wp:lineTo x="0" y="0"/>
              </wp:wrapPolygon>
            </wp:wrapTight>
            <wp:docPr id="9" name="图片 9" descr="QQ图片20160719155005"/>
            <wp:cNvGraphicFramePr/>
            <a:graphic xmlns:a="http://schemas.openxmlformats.org/drawingml/2006/main">
              <a:graphicData uri="http://schemas.openxmlformats.org/drawingml/2006/picture">
                <pic:pic xmlns:pic="http://schemas.openxmlformats.org/drawingml/2006/picture">
                  <pic:nvPicPr>
                    <pic:cNvPr id="9" name="图片 9" descr="QQ图片20160719155005"/>
                    <pic:cNvPicPr/>
                  </pic:nvPicPr>
                  <pic:blipFill>
                    <a:blip r:embed="rId15"/>
                    <a:stretch>
                      <a:fillRect/>
                    </a:stretch>
                  </pic:blipFill>
                  <pic:spPr>
                    <a:xfrm>
                      <a:off x="0" y="0"/>
                      <a:ext cx="1602105" cy="1837055"/>
                    </a:xfrm>
                    <a:prstGeom prst="rect">
                      <a:avLst/>
                    </a:prstGeom>
                  </pic:spPr>
                </pic:pic>
              </a:graphicData>
            </a:graphic>
          </wp:anchor>
        </w:drawing>
      </w:r>
    </w:p>
    <w:p>
      <w:pPr>
        <w:rPr>
          <w:rStyle w:val="8"/>
          <w:rFonts w:ascii="仿宋" w:hAnsi="仿宋" w:eastAsia="仿宋"/>
          <w:bCs/>
          <w:color w:val="333F50" w:themeColor="text2" w:themeShade="BF"/>
        </w:rPr>
      </w:pPr>
      <w:r>
        <w:rPr>
          <w:rStyle w:val="8"/>
          <w:rFonts w:hint="eastAsia" w:ascii="仿宋" w:hAnsi="仿宋" w:eastAsia="仿宋"/>
          <w:bCs/>
          <w:color w:val="333F50" w:themeColor="text2" w:themeShade="BF"/>
        </w:rPr>
        <w:t>学生收获</w:t>
      </w:r>
    </w:p>
    <w:p>
      <w:pPr>
        <w:numPr>
          <w:ilvl w:val="0"/>
          <w:numId w:val="4"/>
        </w:numPr>
        <w:tabs>
          <w:tab w:val="left" w:pos="425"/>
        </w:tabs>
        <w:spacing w:line="440" w:lineRule="exact"/>
        <w:rPr>
          <w:rFonts w:ascii="仿宋" w:hAnsi="仿宋" w:eastAsia="仿宋" w:cs="微软雅黑"/>
          <w:color w:val="000000" w:themeColor="text1"/>
          <w14:textFill>
            <w14:solidFill>
              <w14:schemeClr w14:val="tx1"/>
            </w14:solidFill>
          </w14:textFill>
        </w:rPr>
      </w:pPr>
      <w:r>
        <w:rPr>
          <w:rFonts w:hint="eastAsia" w:ascii="仿宋" w:hAnsi="仿宋" w:eastAsia="仿宋" w:cs="微软雅黑"/>
          <w:color w:val="000000" w:themeColor="text1"/>
          <w14:textFill>
            <w14:solidFill>
              <w14:schemeClr w14:val="tx1"/>
            </w14:solidFill>
          </w14:textFill>
        </w:rPr>
        <w:t>提升对文化差异的适应能力</w:t>
      </w:r>
    </w:p>
    <w:p>
      <w:pPr>
        <w:numPr>
          <w:ilvl w:val="0"/>
          <w:numId w:val="4"/>
        </w:numPr>
        <w:tabs>
          <w:tab w:val="left" w:pos="425"/>
        </w:tabs>
        <w:spacing w:line="440" w:lineRule="exact"/>
        <w:rPr>
          <w:rFonts w:ascii="仿宋" w:hAnsi="仿宋" w:eastAsia="仿宋" w:cs="微软雅黑"/>
          <w:color w:val="000000" w:themeColor="text1"/>
          <w14:textFill>
            <w14:solidFill>
              <w14:schemeClr w14:val="tx1"/>
            </w14:solidFill>
          </w14:textFill>
        </w:rPr>
      </w:pPr>
      <w:r>
        <w:rPr>
          <w:rFonts w:hint="eastAsia" w:ascii="仿宋" w:hAnsi="仿宋" w:eastAsia="仿宋" w:cs="微软雅黑"/>
          <w:color w:val="000000" w:themeColor="text1"/>
          <w14:textFill>
            <w14:solidFill>
              <w14:schemeClr w14:val="tx1"/>
            </w14:solidFill>
          </w14:textFill>
        </w:rPr>
        <w:t>改变学生的思维方式和习惯</w:t>
      </w:r>
    </w:p>
    <w:p>
      <w:pPr>
        <w:numPr>
          <w:ilvl w:val="0"/>
          <w:numId w:val="4"/>
        </w:numPr>
        <w:tabs>
          <w:tab w:val="left" w:pos="425"/>
        </w:tabs>
        <w:spacing w:line="440" w:lineRule="exact"/>
        <w:rPr>
          <w:rFonts w:ascii="仿宋" w:hAnsi="仿宋" w:eastAsia="仿宋" w:cs="微软雅黑"/>
          <w:color w:val="000000" w:themeColor="text1"/>
          <w14:textFill>
            <w14:solidFill>
              <w14:schemeClr w14:val="tx1"/>
            </w14:solidFill>
          </w14:textFill>
        </w:rPr>
      </w:pPr>
      <w:r>
        <w:rPr>
          <w:rFonts w:hint="eastAsia" w:ascii="仿宋" w:hAnsi="仿宋" w:eastAsia="仿宋" w:cs="微软雅黑"/>
          <w:color w:val="000000" w:themeColor="text1"/>
          <w14:textFill>
            <w14:solidFill>
              <w14:schemeClr w14:val="tx1"/>
            </w14:solidFill>
          </w14:textFill>
        </w:rPr>
        <w:t>结交国际友谊与亲情</w:t>
      </w:r>
    </w:p>
    <w:p>
      <w:pPr>
        <w:numPr>
          <w:ilvl w:val="0"/>
          <w:numId w:val="4"/>
        </w:numPr>
        <w:tabs>
          <w:tab w:val="left" w:pos="425"/>
        </w:tabs>
        <w:spacing w:line="440" w:lineRule="exact"/>
        <w:rPr>
          <w:rFonts w:ascii="仿宋" w:hAnsi="仿宋" w:eastAsia="仿宋" w:cs="微软雅黑"/>
          <w:color w:val="000000" w:themeColor="text1"/>
          <w14:textFill>
            <w14:solidFill>
              <w14:schemeClr w14:val="tx1"/>
            </w14:solidFill>
          </w14:textFill>
        </w:rPr>
      </w:pPr>
      <w:r>
        <w:rPr>
          <w:rStyle w:val="8"/>
          <w:rFonts w:hint="eastAsia" w:ascii="仿宋" w:hAnsi="仿宋" w:eastAsia="仿宋"/>
          <w:bCs/>
          <w:color w:val="333F50" w:themeColor="text2" w:themeShade="BF"/>
        </w:rPr>
        <w:drawing>
          <wp:anchor distT="0" distB="0" distL="114300" distR="114300" simplePos="0" relativeHeight="251668480" behindDoc="1" locked="0" layoutInCell="1" allowOverlap="1">
            <wp:simplePos x="0" y="0"/>
            <wp:positionH relativeFrom="column">
              <wp:posOffset>4358005</wp:posOffset>
            </wp:positionH>
            <wp:positionV relativeFrom="paragraph">
              <wp:posOffset>169545</wp:posOffset>
            </wp:positionV>
            <wp:extent cx="1593215" cy="2063115"/>
            <wp:effectExtent l="0" t="0" r="0" b="0"/>
            <wp:wrapTight wrapText="bothSides">
              <wp:wrapPolygon>
                <wp:start x="0" y="0"/>
                <wp:lineTo x="0" y="21407"/>
                <wp:lineTo x="21350" y="21407"/>
                <wp:lineTo x="21350" y="0"/>
                <wp:lineTo x="0" y="0"/>
              </wp:wrapPolygon>
            </wp:wrapTight>
            <wp:docPr id="8" name="图片 8" descr="DSC04231"/>
            <wp:cNvGraphicFramePr/>
            <a:graphic xmlns:a="http://schemas.openxmlformats.org/drawingml/2006/main">
              <a:graphicData uri="http://schemas.openxmlformats.org/drawingml/2006/picture">
                <pic:pic xmlns:pic="http://schemas.openxmlformats.org/drawingml/2006/picture">
                  <pic:nvPicPr>
                    <pic:cNvPr id="8" name="图片 8" descr="DSC04231"/>
                    <pic:cNvPicPr/>
                  </pic:nvPicPr>
                  <pic:blipFill>
                    <a:blip r:embed="rId16"/>
                    <a:stretch>
                      <a:fillRect/>
                    </a:stretch>
                  </pic:blipFill>
                  <pic:spPr>
                    <a:xfrm>
                      <a:off x="0" y="0"/>
                      <a:ext cx="1593215" cy="2063115"/>
                    </a:xfrm>
                    <a:prstGeom prst="rect">
                      <a:avLst/>
                    </a:prstGeom>
                  </pic:spPr>
                </pic:pic>
              </a:graphicData>
            </a:graphic>
          </wp:anchor>
        </w:drawing>
      </w:r>
      <w:r>
        <w:rPr>
          <w:rFonts w:hint="eastAsia" w:ascii="仿宋" w:hAnsi="仿宋" w:eastAsia="仿宋" w:cs="微软雅黑"/>
          <w:color w:val="000000" w:themeColor="text1"/>
          <w14:textFill>
            <w14:solidFill>
              <w14:schemeClr w14:val="tx1"/>
            </w14:solidFill>
          </w14:textFill>
        </w:rPr>
        <w:t>提升英语沟通及应用能力</w:t>
      </w:r>
    </w:p>
    <w:p>
      <w:pPr>
        <w:numPr>
          <w:ilvl w:val="0"/>
          <w:numId w:val="4"/>
        </w:numPr>
        <w:tabs>
          <w:tab w:val="left" w:pos="425"/>
        </w:tabs>
        <w:spacing w:line="440" w:lineRule="exact"/>
        <w:rPr>
          <w:rFonts w:ascii="仿宋" w:hAnsi="仿宋" w:eastAsia="仿宋" w:cs="微软雅黑"/>
          <w:color w:val="000000" w:themeColor="text1"/>
          <w14:textFill>
            <w14:solidFill>
              <w14:schemeClr w14:val="tx1"/>
            </w14:solidFill>
          </w14:textFill>
        </w:rPr>
      </w:pPr>
      <w:r>
        <w:rPr>
          <w:rFonts w:hint="eastAsia" w:ascii="仿宋" w:hAnsi="仿宋" w:eastAsia="仿宋" w:cs="微软雅黑"/>
          <w:color w:val="000000" w:themeColor="text1"/>
          <w14:textFill>
            <w14:solidFill>
              <w14:schemeClr w14:val="tx1"/>
            </w14:solidFill>
          </w14:textFill>
        </w:rPr>
        <w:t>良好的签证记录</w:t>
      </w:r>
    </w:p>
    <w:p>
      <w:pPr>
        <w:numPr>
          <w:ilvl w:val="0"/>
          <w:numId w:val="4"/>
        </w:numPr>
        <w:tabs>
          <w:tab w:val="left" w:pos="425"/>
        </w:tabs>
        <w:spacing w:line="440" w:lineRule="exact"/>
        <w:rPr>
          <w:rFonts w:ascii="仿宋" w:hAnsi="仿宋" w:eastAsia="仿宋" w:cs="微软雅黑"/>
          <w:color w:val="000000" w:themeColor="text1"/>
          <w14:textFill>
            <w14:solidFill>
              <w14:schemeClr w14:val="tx1"/>
            </w14:solidFill>
          </w14:textFill>
        </w:rPr>
      </w:pPr>
      <w:r>
        <w:rPr>
          <w:rFonts w:hint="eastAsia" w:ascii="仿宋" w:hAnsi="仿宋" w:eastAsia="仿宋" w:cs="微软雅黑"/>
          <w:color w:val="000000" w:themeColor="text1"/>
          <w14:textFill>
            <w14:solidFill>
              <w14:schemeClr w14:val="tx1"/>
            </w14:solidFill>
          </w14:textFill>
        </w:rPr>
        <w:t>项目证书、推荐信</w:t>
      </w:r>
    </w:p>
    <w:p>
      <w:pPr>
        <w:numPr>
          <w:ilvl w:val="0"/>
          <w:numId w:val="4"/>
        </w:numPr>
        <w:tabs>
          <w:tab w:val="left" w:pos="425"/>
        </w:tabs>
        <w:spacing w:line="440" w:lineRule="exact"/>
        <w:rPr>
          <w:rFonts w:ascii="仿宋" w:hAnsi="仿宋" w:eastAsia="仿宋" w:cs="微软雅黑"/>
          <w:color w:val="000000" w:themeColor="text1"/>
          <w14:textFill>
            <w14:solidFill>
              <w14:schemeClr w14:val="tx1"/>
            </w14:solidFill>
          </w14:textFill>
        </w:rPr>
      </w:pPr>
      <w:r>
        <w:rPr>
          <w:rFonts w:hint="eastAsia" w:ascii="仿宋" w:hAnsi="仿宋" w:eastAsia="仿宋" w:cs="微软雅黑"/>
          <w:color w:val="000000" w:themeColor="text1"/>
          <w14:textFill>
            <w14:solidFill>
              <w14:schemeClr w14:val="tx1"/>
            </w14:solidFill>
          </w14:textFill>
        </w:rPr>
        <w:t>开阔国际视野、丰富自己的人生阅历</w:t>
      </w:r>
    </w:p>
    <w:p>
      <w:pPr>
        <w:numPr>
          <w:ilvl w:val="0"/>
          <w:numId w:val="4"/>
        </w:numPr>
        <w:tabs>
          <w:tab w:val="left" w:pos="425"/>
        </w:tabs>
        <w:spacing w:line="440" w:lineRule="exact"/>
        <w:rPr>
          <w:rFonts w:ascii="仿宋" w:hAnsi="仿宋" w:eastAsia="仿宋" w:cs="微软雅黑"/>
          <w:color w:val="000000" w:themeColor="text1"/>
          <w14:textFill>
            <w14:solidFill>
              <w14:schemeClr w14:val="tx1"/>
            </w14:solidFill>
          </w14:textFill>
        </w:rPr>
      </w:pPr>
      <w:r>
        <w:rPr>
          <w:rFonts w:hint="eastAsia" w:ascii="仿宋" w:hAnsi="仿宋" w:eastAsia="仿宋" w:cs="微软雅黑"/>
          <w:color w:val="000000" w:themeColor="text1"/>
          <w14:textFill>
            <w14:solidFill>
              <w14:schemeClr w14:val="tx1"/>
            </w14:solidFill>
          </w14:textFill>
        </w:rPr>
        <w:t>建立对未来择业、择校良好的自信心</w:t>
      </w:r>
    </w:p>
    <w:p>
      <w:pPr>
        <w:spacing w:line="480" w:lineRule="exact"/>
        <w:rPr>
          <w:rStyle w:val="8"/>
          <w:rFonts w:ascii="微软雅黑" w:hAnsi="微软雅黑" w:eastAsia="微软雅黑"/>
          <w:bCs/>
          <w:color w:val="333F50" w:themeColor="text2" w:themeShade="BF"/>
        </w:rPr>
      </w:pPr>
    </w:p>
    <w:p>
      <w:pPr>
        <w:spacing w:line="480" w:lineRule="exact"/>
        <w:rPr>
          <w:rFonts w:ascii="仿宋" w:hAnsi="仿宋" w:eastAsia="仿宋" w:cs="微软雅黑"/>
          <w:color w:val="000000" w:themeColor="text1"/>
          <w14:textFill>
            <w14:solidFill>
              <w14:schemeClr w14:val="tx1"/>
            </w14:solidFill>
          </w14:textFill>
        </w:rPr>
      </w:pPr>
      <w:r>
        <w:rPr>
          <w:rStyle w:val="8"/>
          <w:rFonts w:hint="eastAsia" w:ascii="仿宋" w:hAnsi="仿宋" w:eastAsia="仿宋"/>
          <w:bCs/>
          <w:color w:val="FF0000"/>
        </w:rPr>
        <w:t>证书获得：</w:t>
      </w:r>
      <w:r>
        <w:rPr>
          <w:rFonts w:hint="eastAsia" w:ascii="仿宋" w:hAnsi="仿宋" w:eastAsia="仿宋" w:cs="微软雅黑"/>
          <w:color w:val="000000" w:themeColor="text1"/>
          <w14:textFill>
            <w14:solidFill>
              <w14:schemeClr w14:val="tx1"/>
            </w14:solidFill>
          </w14:textFill>
        </w:rPr>
        <w:t>名校进名企实训证书、美国项目执行方参与证书或推荐信、1</w:t>
      </w:r>
      <w:r>
        <w:rPr>
          <w:rFonts w:ascii="仿宋" w:hAnsi="仿宋" w:eastAsia="仿宋" w:cs="微软雅黑"/>
          <w:color w:val="000000" w:themeColor="text1"/>
          <w14:textFill>
            <w14:solidFill>
              <w14:schemeClr w14:val="tx1"/>
            </w14:solidFill>
          </w14:textFill>
        </w:rPr>
        <w:t>0%</w:t>
      </w:r>
      <w:r>
        <w:rPr>
          <w:rFonts w:hint="eastAsia" w:ascii="仿宋" w:hAnsi="仿宋" w:eastAsia="仿宋" w:cs="微软雅黑"/>
          <w:color w:val="000000" w:themeColor="text1"/>
          <w14:textFill>
            <w14:solidFill>
              <w14:schemeClr w14:val="tx1"/>
            </w14:solidFill>
          </w14:textFill>
        </w:rPr>
        <w:t>～2</w:t>
      </w:r>
      <w:r>
        <w:rPr>
          <w:rFonts w:ascii="仿宋" w:hAnsi="仿宋" w:eastAsia="仿宋" w:cs="微软雅黑"/>
          <w:color w:val="000000" w:themeColor="text1"/>
          <w14:textFill>
            <w14:solidFill>
              <w14:schemeClr w14:val="tx1"/>
            </w14:solidFill>
          </w14:textFill>
        </w:rPr>
        <w:t>0%</w:t>
      </w:r>
      <w:r>
        <w:rPr>
          <w:rFonts w:hint="eastAsia" w:ascii="仿宋" w:hAnsi="仿宋" w:eastAsia="仿宋" w:cs="微软雅黑"/>
          <w:color w:val="000000" w:themeColor="text1"/>
          <w14:textFill>
            <w14:solidFill>
              <w14:schemeClr w14:val="tx1"/>
            </w14:solidFill>
          </w14:textFill>
        </w:rPr>
        <w:t>表现优秀学生可获得联合国工业发展组织全球创新网络项目智能产业促进中心实践证书</w:t>
      </w:r>
    </w:p>
    <w:p>
      <w:pPr>
        <w:spacing w:line="480" w:lineRule="exact"/>
        <w:rPr>
          <w:rFonts w:ascii="仿宋" w:hAnsi="仿宋" w:eastAsia="仿宋" w:cs="微软雅黑"/>
          <w:color w:val="000000" w:themeColor="text1"/>
          <w14:textFill>
            <w14:solidFill>
              <w14:schemeClr w14:val="tx1"/>
            </w14:solidFill>
          </w14:textFill>
        </w:rPr>
      </w:pPr>
      <w:r>
        <w:drawing>
          <wp:anchor distT="0" distB="0" distL="114300" distR="114300" simplePos="0" relativeHeight="251674624" behindDoc="0" locked="0" layoutInCell="1" allowOverlap="1">
            <wp:simplePos x="0" y="0"/>
            <wp:positionH relativeFrom="column">
              <wp:posOffset>1669415</wp:posOffset>
            </wp:positionH>
            <wp:positionV relativeFrom="paragraph">
              <wp:posOffset>21590</wp:posOffset>
            </wp:positionV>
            <wp:extent cx="2943860" cy="1971040"/>
            <wp:effectExtent l="0" t="0" r="254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a:extLst>
                        <a:ext uri="{28A0092B-C50C-407E-A947-70E740481C1C}">
                          <a14:useLocalDpi xmlns:a14="http://schemas.microsoft.com/office/drawing/2010/main" val="0"/>
                        </a:ext>
                      </a:extLst>
                    </a:blip>
                    <a:srcRect l="25021" r="24501"/>
                    <a:stretch>
                      <a:fillRect/>
                    </a:stretch>
                  </pic:blipFill>
                  <pic:spPr>
                    <a:xfrm>
                      <a:off x="0" y="0"/>
                      <a:ext cx="2943860" cy="1971040"/>
                    </a:xfrm>
                    <a:prstGeom prst="rect">
                      <a:avLst/>
                    </a:prstGeom>
                    <a:noFill/>
                    <a:ln>
                      <a:noFill/>
                    </a:ln>
                  </pic:spPr>
                </pic:pic>
              </a:graphicData>
            </a:graphic>
          </wp:anchor>
        </w:drawing>
      </w:r>
    </w:p>
    <w:p>
      <w:pPr>
        <w:spacing w:line="480" w:lineRule="exact"/>
        <w:rPr>
          <w:rFonts w:ascii="仿宋" w:hAnsi="仿宋" w:eastAsia="仿宋" w:cs="微软雅黑"/>
          <w:color w:val="000000" w:themeColor="text1"/>
          <w14:textFill>
            <w14:solidFill>
              <w14:schemeClr w14:val="tx1"/>
            </w14:solidFill>
          </w14:textFill>
        </w:rPr>
      </w:pPr>
    </w:p>
    <w:p>
      <w:pPr>
        <w:spacing w:line="480" w:lineRule="exact"/>
        <w:rPr>
          <w:rFonts w:ascii="仿宋" w:hAnsi="仿宋" w:eastAsia="仿宋" w:cs="微软雅黑"/>
          <w:color w:val="000000" w:themeColor="text1"/>
          <w14:textFill>
            <w14:solidFill>
              <w14:schemeClr w14:val="tx1"/>
            </w14:solidFill>
          </w14:textFill>
        </w:rPr>
      </w:pPr>
    </w:p>
    <w:p>
      <w:pPr>
        <w:spacing w:line="480" w:lineRule="exact"/>
        <w:rPr>
          <w:rStyle w:val="8"/>
          <w:rFonts w:ascii="微软雅黑" w:hAnsi="微软雅黑" w:eastAsia="微软雅黑"/>
          <w:bCs/>
          <w:color w:val="333F50" w:themeColor="text2" w:themeShade="BF"/>
        </w:rPr>
      </w:pPr>
    </w:p>
    <w:p>
      <w:pPr>
        <w:spacing w:line="480" w:lineRule="exact"/>
        <w:rPr>
          <w:rStyle w:val="8"/>
          <w:rFonts w:ascii="微软雅黑" w:hAnsi="微软雅黑" w:eastAsia="微软雅黑"/>
          <w:bCs/>
          <w:color w:val="333F50" w:themeColor="text2" w:themeShade="BF"/>
        </w:rPr>
      </w:pPr>
    </w:p>
    <w:p>
      <w:pPr>
        <w:spacing w:line="480" w:lineRule="exact"/>
        <w:rPr>
          <w:rStyle w:val="8"/>
          <w:rFonts w:ascii="微软雅黑" w:hAnsi="微软雅黑" w:eastAsia="微软雅黑"/>
          <w:bCs/>
          <w:color w:val="333F50" w:themeColor="text2" w:themeShade="BF"/>
        </w:rPr>
      </w:pPr>
    </w:p>
    <w:p>
      <w:pPr>
        <w:spacing w:line="480" w:lineRule="exact"/>
        <w:rPr>
          <w:rStyle w:val="8"/>
          <w:rFonts w:ascii="微软雅黑" w:hAnsi="微软雅黑" w:eastAsia="微软雅黑"/>
          <w:bCs/>
          <w:color w:val="333F50" w:themeColor="text2" w:themeShade="BF"/>
        </w:rPr>
      </w:pPr>
    </w:p>
    <w:p>
      <w:pPr>
        <w:spacing w:line="480" w:lineRule="exact"/>
        <w:rPr>
          <w:rStyle w:val="8"/>
          <w:rFonts w:ascii="微软雅黑" w:hAnsi="微软雅黑" w:eastAsia="微软雅黑"/>
          <w:bCs/>
          <w:color w:val="333F50" w:themeColor="text2" w:themeShade="BF"/>
        </w:rPr>
      </w:pPr>
    </w:p>
    <w:p>
      <w:pPr>
        <w:rPr>
          <w:rFonts w:ascii="仿宋" w:hAnsi="仿宋" w:eastAsia="仿宋"/>
          <w:b/>
          <w:bCs/>
        </w:rPr>
      </w:pPr>
      <w:r>
        <w:rPr>
          <w:rFonts w:hint="eastAsia" w:ascii="仿宋" w:hAnsi="仿宋" w:eastAsia="仿宋"/>
          <w:b/>
          <w:bCs/>
        </w:rPr>
        <w:t>参加条件</w:t>
      </w:r>
    </w:p>
    <w:p>
      <w:pPr>
        <w:pStyle w:val="11"/>
        <w:numPr>
          <w:ilvl w:val="0"/>
          <w:numId w:val="5"/>
        </w:numPr>
        <w:spacing w:line="360" w:lineRule="auto"/>
        <w:ind w:firstLineChars="0"/>
        <w:rPr>
          <w:rFonts w:ascii="仿宋" w:hAnsi="仿宋" w:eastAsia="仿宋"/>
        </w:rPr>
      </w:pPr>
      <w:r>
        <w:rPr>
          <w:rFonts w:hint="eastAsia" w:ascii="仿宋" w:hAnsi="仿宋" w:eastAsia="仿宋" w:cs="仿宋"/>
          <w:lang w:bidi="zh-CN"/>
        </w:rPr>
        <w:t>拥护中国共产党的领导、热爱祖国、品德优良、身体健康，具有较强的学习能力的全日制年满1</w:t>
      </w:r>
      <w:r>
        <w:rPr>
          <w:rFonts w:ascii="仿宋" w:hAnsi="仿宋" w:eastAsia="仿宋" w:cs="仿宋"/>
          <w:lang w:bidi="zh-CN"/>
        </w:rPr>
        <w:t>8周岁的</w:t>
      </w:r>
      <w:r>
        <w:rPr>
          <w:rFonts w:hint="eastAsia" w:ascii="仿宋" w:hAnsi="仿宋" w:eastAsia="仿宋" w:cs="仿宋"/>
          <w:lang w:bidi="zh-CN"/>
        </w:rPr>
        <w:t>学生；</w:t>
      </w:r>
    </w:p>
    <w:p>
      <w:pPr>
        <w:pStyle w:val="11"/>
        <w:numPr>
          <w:ilvl w:val="0"/>
          <w:numId w:val="5"/>
        </w:numPr>
        <w:spacing w:line="360" w:lineRule="auto"/>
        <w:ind w:firstLineChars="0"/>
        <w:rPr>
          <w:rFonts w:ascii="仿宋" w:hAnsi="仿宋" w:eastAsia="仿宋"/>
        </w:rPr>
      </w:pPr>
      <w:r>
        <w:rPr>
          <w:rFonts w:hint="eastAsia" w:ascii="仿宋" w:hAnsi="仿宋" w:eastAsia="仿宋"/>
        </w:rPr>
        <w:t>经学校推荐，品学兼优、学习成绩良好、无任何不良嗜好；</w:t>
      </w:r>
    </w:p>
    <w:p>
      <w:pPr>
        <w:pStyle w:val="11"/>
        <w:numPr>
          <w:ilvl w:val="0"/>
          <w:numId w:val="5"/>
        </w:numPr>
        <w:spacing w:line="360" w:lineRule="auto"/>
        <w:ind w:firstLineChars="0"/>
        <w:rPr>
          <w:rFonts w:ascii="仿宋" w:hAnsi="仿宋" w:eastAsia="仿宋"/>
        </w:rPr>
      </w:pPr>
      <w:r>
        <w:rPr>
          <w:rFonts w:hint="eastAsia" w:ascii="仿宋" w:hAnsi="仿宋" w:eastAsia="仿宋"/>
        </w:rPr>
        <w:t>愿意接受挑战且对美国知名企业文化和运作感兴趣；</w:t>
      </w:r>
    </w:p>
    <w:p>
      <w:pPr>
        <w:pStyle w:val="11"/>
        <w:numPr>
          <w:ilvl w:val="0"/>
          <w:numId w:val="5"/>
        </w:numPr>
        <w:spacing w:line="360" w:lineRule="auto"/>
        <w:ind w:firstLineChars="0"/>
        <w:rPr>
          <w:rFonts w:ascii="仿宋" w:hAnsi="仿宋" w:eastAsia="仿宋"/>
        </w:rPr>
      </w:pPr>
      <w:r>
        <w:rPr>
          <w:rFonts w:hint="eastAsia" w:ascii="仿宋" w:hAnsi="仿宋" w:eastAsia="仿宋"/>
        </w:rPr>
        <w:t>自愿参加，保证项目结束后按时返校；</w:t>
      </w:r>
    </w:p>
    <w:p>
      <w:pPr>
        <w:pStyle w:val="11"/>
        <w:numPr>
          <w:ilvl w:val="0"/>
          <w:numId w:val="5"/>
        </w:numPr>
        <w:spacing w:line="360" w:lineRule="auto"/>
        <w:ind w:firstLineChars="0"/>
        <w:rPr>
          <w:rFonts w:ascii="仿宋" w:hAnsi="仿宋" w:eastAsia="仿宋"/>
        </w:rPr>
      </w:pPr>
      <w:r>
        <w:rPr>
          <w:rFonts w:hint="eastAsia" w:ascii="仿宋" w:hAnsi="仿宋" w:eastAsia="仿宋" w:cs="仿宋"/>
          <w:lang w:bidi="zh-CN"/>
        </w:rPr>
        <w:t>项目期间严格遵守当地法律法规和参访企业规章制度，自觉维护国家利益、民族尊严和学校荣誉。</w:t>
      </w:r>
    </w:p>
    <w:p>
      <w:pPr>
        <w:rPr>
          <w:rFonts w:ascii="仿宋" w:hAnsi="仿宋" w:eastAsia="仿宋"/>
        </w:rPr>
      </w:pPr>
    </w:p>
    <w:p>
      <w:pPr>
        <w:rPr>
          <w:rFonts w:ascii="仿宋" w:hAnsi="仿宋" w:eastAsia="仿宋"/>
          <w:b/>
          <w:bCs/>
        </w:rPr>
      </w:pPr>
      <w:r>
        <w:rPr>
          <w:rFonts w:hint="eastAsia" w:ascii="仿宋" w:hAnsi="仿宋" w:eastAsia="仿宋"/>
          <w:b/>
          <w:bCs/>
        </w:rPr>
        <w:t>安全保障</w:t>
      </w:r>
    </w:p>
    <w:p>
      <w:pPr>
        <w:spacing w:line="360" w:lineRule="auto"/>
        <w:rPr>
          <w:rFonts w:ascii="仿宋" w:hAnsi="仿宋" w:eastAsia="仿宋"/>
        </w:rPr>
      </w:pPr>
      <w:r>
        <w:rPr>
          <w:rFonts w:hint="eastAsia" w:ascii="仿宋" w:hAnsi="仿宋" w:eastAsia="仿宋"/>
        </w:rPr>
        <w:t>所有的实训项目具有很高的安全保障。参与者在美期间的安全保障措施如下：</w:t>
      </w:r>
    </w:p>
    <w:p>
      <w:pPr>
        <w:spacing w:line="360" w:lineRule="auto"/>
        <w:rPr>
          <w:rFonts w:ascii="仿宋" w:hAnsi="仿宋" w:eastAsia="仿宋"/>
        </w:rPr>
      </w:pPr>
      <w:r>
        <w:rPr>
          <w:rFonts w:hint="eastAsia" w:ascii="仿宋" w:hAnsi="仿宋" w:eastAsia="仿宋"/>
        </w:rPr>
        <w:t>1. 服务协议受法律保护；</w:t>
      </w:r>
    </w:p>
    <w:p>
      <w:pPr>
        <w:spacing w:line="360" w:lineRule="auto"/>
        <w:rPr>
          <w:rFonts w:ascii="仿宋" w:hAnsi="仿宋" w:eastAsia="仿宋"/>
        </w:rPr>
      </w:pPr>
      <w:r>
        <w:rPr>
          <w:rFonts w:hint="eastAsia" w:ascii="仿宋" w:hAnsi="仿宋" w:eastAsia="仿宋"/>
        </w:rPr>
        <w:t>2. 强大的学生信息管理系统，实时追踪学生情况，并与学校、家长保持密切联系；</w:t>
      </w:r>
    </w:p>
    <w:p>
      <w:pPr>
        <w:spacing w:line="360" w:lineRule="auto"/>
        <w:rPr>
          <w:rFonts w:ascii="仿宋" w:hAnsi="仿宋" w:eastAsia="仿宋"/>
        </w:rPr>
      </w:pPr>
      <w:r>
        <w:rPr>
          <w:rFonts w:hint="eastAsia" w:ascii="仿宋" w:hAnsi="仿宋" w:eastAsia="仿宋"/>
        </w:rPr>
        <w:t>3. 全程享有医疗与意外伤害保险；</w:t>
      </w:r>
    </w:p>
    <w:p>
      <w:pPr>
        <w:spacing w:line="360" w:lineRule="auto"/>
        <w:rPr>
          <w:rFonts w:ascii="仿宋" w:hAnsi="仿宋" w:eastAsia="仿宋"/>
        </w:rPr>
      </w:pPr>
      <w:r>
        <w:rPr>
          <w:rFonts w:hint="eastAsia" w:ascii="仿宋" w:hAnsi="仿宋" w:eastAsia="仿宋"/>
        </w:rPr>
        <w:t>4. 拥有专职老师的服务团队；</w:t>
      </w:r>
    </w:p>
    <w:p>
      <w:pPr>
        <w:spacing w:line="360" w:lineRule="auto"/>
        <w:rPr>
          <w:rFonts w:ascii="仿宋" w:hAnsi="仿宋" w:eastAsia="仿宋"/>
        </w:rPr>
      </w:pPr>
      <w:r>
        <w:rPr>
          <w:rFonts w:hint="eastAsia" w:ascii="仿宋" w:hAnsi="仿宋" w:eastAsia="仿宋"/>
        </w:rPr>
        <w:t>5. 合作院校老师带队并全程陪同参加项目。</w:t>
      </w:r>
    </w:p>
    <w:p>
      <w:pPr>
        <w:rPr>
          <w:rFonts w:ascii="仿宋" w:hAnsi="仿宋" w:eastAsia="仿宋" w:cs="仿宋"/>
          <w:lang w:eastAsia="zh-TW"/>
        </w:rPr>
      </w:pPr>
    </w:p>
    <w:p>
      <w:pPr>
        <w:rPr>
          <w:rFonts w:ascii="仿宋" w:hAnsi="仿宋" w:eastAsia="仿宋" w:cs="仿宋"/>
          <w:b/>
          <w:bCs/>
        </w:rPr>
      </w:pPr>
      <w:r>
        <w:rPr>
          <w:rFonts w:hint="eastAsia" w:ascii="仿宋" w:hAnsi="仿宋" w:eastAsia="仿宋" w:cs="仿宋"/>
          <w:b/>
          <w:bCs/>
        </w:rPr>
        <w:t>美方企业：</w:t>
      </w:r>
    </w:p>
    <w:p>
      <w:pPr>
        <w:spacing w:line="360" w:lineRule="auto"/>
        <w:rPr>
          <w:rFonts w:ascii="仿宋" w:hAnsi="仿宋" w:eastAsia="仿宋" w:cs="仿宋"/>
          <w:b/>
          <w:color w:val="000000"/>
          <w:szCs w:val="21"/>
          <w:lang w:bidi="ar"/>
        </w:rPr>
      </w:pPr>
      <w:r>
        <w:rPr>
          <w:rFonts w:hint="eastAsia" w:ascii="仿宋" w:hAnsi="仿宋" w:eastAsia="仿宋" w:cs="仿宋"/>
          <w:b/>
          <w:color w:val="000000"/>
          <w:szCs w:val="21"/>
          <w:lang w:bidi="ar"/>
        </w:rPr>
        <w:t xml:space="preserve">亚马逊 </w:t>
      </w:r>
    </w:p>
    <w:p>
      <w:pPr>
        <w:spacing w:line="360" w:lineRule="auto"/>
        <w:rPr>
          <w:rFonts w:ascii="仿宋" w:hAnsi="仿宋" w:eastAsia="仿宋"/>
        </w:rPr>
      </w:pPr>
      <w:r>
        <w:rPr>
          <w:rFonts w:hint="eastAsia" w:ascii="仿宋" w:hAnsi="仿宋" w:eastAsia="仿宋"/>
        </w:rPr>
        <w:t>亚马逊公司（Amazon，简称亚马逊；NASDAQ：AMZN），2022年营收为5140亿美元，是美国最大的一家网络电子商务公司，位于华盛顿州的西雅图。是网络上最早开始经营电子商务的公司之一，亚马逊成立于1994年，一开始只经营网络的书籍销售业务，现在则扩及了范围相当广的其他产品，已成为全球商品品种最多的网上零售商和全球第二大互联网企业。</w:t>
      </w:r>
    </w:p>
    <w:p>
      <w:pPr>
        <w:spacing w:line="360" w:lineRule="auto"/>
        <w:rPr>
          <w:rFonts w:ascii="仿宋" w:hAnsi="仿宋" w:eastAsia="仿宋" w:cs="仿宋"/>
          <w:b/>
          <w:color w:val="000000"/>
          <w:szCs w:val="21"/>
          <w:lang w:bidi="ar"/>
        </w:rPr>
      </w:pPr>
      <w:r>
        <w:rPr>
          <w:rFonts w:ascii="仿宋" w:hAnsi="仿宋" w:eastAsia="仿宋" w:cs="仿宋"/>
          <w:b/>
          <w:color w:val="000000"/>
          <w:szCs w:val="21"/>
          <w:lang w:bidi="ar"/>
        </w:rPr>
        <w:t xml:space="preserve">Tesla特斯拉 </w:t>
      </w:r>
    </w:p>
    <w:p>
      <w:pPr>
        <w:spacing w:line="360" w:lineRule="auto"/>
        <w:rPr>
          <w:rFonts w:ascii="仿宋" w:hAnsi="仿宋" w:eastAsia="仿宋"/>
        </w:rPr>
      </w:pPr>
      <w:r>
        <w:rPr>
          <w:rFonts w:ascii="仿宋" w:hAnsi="仿宋" w:eastAsia="仿宋"/>
        </w:rPr>
        <w:t xml:space="preserve">美国市值最高的工业公司 ，世界500强企业。 </w:t>
      </w:r>
    </w:p>
    <w:p>
      <w:pPr>
        <w:spacing w:after="150" w:line="360" w:lineRule="auto"/>
        <w:rPr>
          <w:rFonts w:ascii="仿宋" w:hAnsi="仿宋" w:eastAsia="仿宋" w:cs="仿宋"/>
          <w:b/>
          <w:color w:val="000000"/>
          <w:lang w:bidi="ar"/>
        </w:rPr>
      </w:pPr>
      <w:r>
        <w:rPr>
          <w:rFonts w:hint="eastAsia" w:ascii="仿宋" w:hAnsi="仿宋" w:eastAsia="仿宋" w:cs="仿宋"/>
          <w:b/>
          <w:color w:val="000000"/>
          <w:lang w:bidi="ar"/>
        </w:rPr>
        <w:t xml:space="preserve">Google </w:t>
      </w:r>
    </w:p>
    <w:p>
      <w:pPr>
        <w:spacing w:line="360" w:lineRule="auto"/>
        <w:rPr>
          <w:rFonts w:ascii="仿宋" w:hAnsi="仿宋" w:eastAsia="仿宋"/>
        </w:rPr>
      </w:pPr>
      <w:r>
        <w:rPr>
          <w:rFonts w:hint="eastAsia" w:ascii="仿宋" w:hAnsi="仿宋" w:eastAsia="仿宋"/>
        </w:rPr>
        <w:t>谷歌公司（Google Inc.）成立于1998年9月4日，2022财年收入2828亿美元， 由拉里·佩奇和谢尔盖·布林共同创建，被公认为全球最大的搜索引擎公司。谷歌是一家位于美国的跨国科技企业，业务包括互联网搜索、云计算、广告技术等，同时开发并提供大量基于互联网的产品与服务，其主要利润来自于关键词广告等服务。</w:t>
      </w:r>
    </w:p>
    <w:p>
      <w:pPr>
        <w:spacing w:line="360" w:lineRule="auto"/>
        <w:rPr>
          <w:rFonts w:ascii="仿宋" w:hAnsi="仿宋" w:eastAsia="仿宋"/>
          <w:color w:val="57585A"/>
        </w:rPr>
      </w:pPr>
    </w:p>
    <w:p>
      <w:pPr>
        <w:spacing w:line="360" w:lineRule="auto"/>
        <w:rPr>
          <w:rFonts w:ascii="仿宋" w:hAnsi="仿宋" w:eastAsia="仿宋" w:cs="仿宋"/>
          <w:b/>
          <w:color w:val="000000"/>
          <w:szCs w:val="21"/>
          <w:lang w:bidi="ar"/>
        </w:rPr>
      </w:pPr>
      <w:r>
        <w:rPr>
          <w:rFonts w:hint="eastAsia" w:ascii="仿宋" w:hAnsi="仿宋" w:eastAsia="仿宋" w:cs="仿宋"/>
          <w:b/>
          <w:color w:val="000000"/>
          <w:szCs w:val="21"/>
          <w:lang w:bidi="ar"/>
        </w:rPr>
        <w:t>美国加州政府相关机构：</w:t>
      </w:r>
    </w:p>
    <w:p>
      <w:pPr>
        <w:spacing w:line="360" w:lineRule="auto"/>
        <w:rPr>
          <w:rFonts w:ascii="仿宋" w:hAnsi="仿宋" w:eastAsia="仿宋"/>
        </w:rPr>
      </w:pPr>
      <w:r>
        <w:rPr>
          <w:rFonts w:hint="eastAsia" w:ascii="仿宋" w:hAnsi="仿宋" w:eastAsia="仿宋"/>
        </w:rPr>
        <w:t>橙县水务局Orange County Water District</w:t>
      </w:r>
      <w:r>
        <w:rPr>
          <w:rFonts w:ascii="Calibri" w:hAnsi="Calibri" w:eastAsia="仿宋" w:cs="Calibri"/>
        </w:rPr>
        <w:t> </w:t>
      </w:r>
    </w:p>
    <w:p>
      <w:pPr>
        <w:spacing w:line="360" w:lineRule="auto"/>
        <w:rPr>
          <w:rFonts w:ascii="仿宋" w:hAnsi="仿宋" w:eastAsia="仿宋"/>
        </w:rPr>
      </w:pPr>
      <w:r>
        <w:rPr>
          <w:rFonts w:hint="eastAsia" w:ascii="仿宋" w:hAnsi="仿宋" w:eastAsia="仿宋"/>
        </w:rPr>
        <w:t>苹果谷警察局</w:t>
      </w:r>
      <w:r>
        <w:rPr>
          <w:rFonts w:ascii="仿宋" w:hAnsi="仿宋" w:eastAsia="仿宋"/>
        </w:rPr>
        <w:t>Apple Valley P</w:t>
      </w:r>
      <w:r>
        <w:rPr>
          <w:rFonts w:hint="eastAsia" w:ascii="仿宋" w:hAnsi="仿宋" w:eastAsia="仿宋"/>
        </w:rPr>
        <w:t>olice</w:t>
      </w:r>
      <w:r>
        <w:rPr>
          <w:rFonts w:ascii="仿宋" w:hAnsi="仿宋" w:eastAsia="仿宋"/>
        </w:rPr>
        <w:t xml:space="preserve"> D</w:t>
      </w:r>
      <w:r>
        <w:rPr>
          <w:rFonts w:hint="eastAsia" w:ascii="仿宋" w:hAnsi="仿宋" w:eastAsia="仿宋"/>
        </w:rPr>
        <w:t>epartment</w:t>
      </w:r>
    </w:p>
    <w:p>
      <w:pPr>
        <w:spacing w:line="360" w:lineRule="auto"/>
        <w:rPr>
          <w:rFonts w:ascii="仿宋" w:hAnsi="仿宋" w:eastAsia="仿宋"/>
        </w:rPr>
      </w:pPr>
      <w:r>
        <w:rPr>
          <w:rFonts w:hint="eastAsia" w:ascii="仿宋" w:hAnsi="仿宋" w:eastAsia="仿宋"/>
        </w:rPr>
        <w:t>市政厅</w:t>
      </w:r>
    </w:p>
    <w:p>
      <w:pPr>
        <w:spacing w:line="480" w:lineRule="exact"/>
        <w:rPr>
          <w:rStyle w:val="8"/>
          <w:rFonts w:ascii="微软雅黑" w:hAnsi="微软雅黑" w:eastAsia="微软雅黑"/>
          <w:bCs/>
          <w:color w:val="333F50" w:themeColor="text2" w:themeShade="BF"/>
          <w:sz w:val="22"/>
          <w:szCs w:val="20"/>
        </w:rPr>
      </w:pPr>
      <w:r>
        <w:rPr>
          <w:rFonts w:hint="eastAsia" w:ascii="微软雅黑" w:hAnsi="微软雅黑" w:eastAsia="微软雅黑" w:cs="微软雅黑"/>
          <w:b/>
          <w:bCs/>
          <w:sz w:val="18"/>
          <w:szCs w:val="18"/>
        </w:rPr>
        <w:drawing>
          <wp:anchor distT="0" distB="0" distL="114300" distR="114300" simplePos="0" relativeHeight="251673600" behindDoc="1" locked="0" layoutInCell="1" allowOverlap="1">
            <wp:simplePos x="0" y="0"/>
            <wp:positionH relativeFrom="column">
              <wp:posOffset>4006215</wp:posOffset>
            </wp:positionH>
            <wp:positionV relativeFrom="paragraph">
              <wp:posOffset>303530</wp:posOffset>
            </wp:positionV>
            <wp:extent cx="1800225" cy="1080135"/>
            <wp:effectExtent l="0" t="0" r="3175" b="0"/>
            <wp:wrapTight wrapText="bothSides">
              <wp:wrapPolygon>
                <wp:start x="0" y="0"/>
                <wp:lineTo x="0" y="21333"/>
                <wp:lineTo x="21486" y="21333"/>
                <wp:lineTo x="21486" y="0"/>
                <wp:lineTo x="0" y="0"/>
              </wp:wrapPolygon>
            </wp:wrapTight>
            <wp:docPr id="11" name="图片 11" descr="02"/>
            <wp:cNvGraphicFramePr/>
            <a:graphic xmlns:a="http://schemas.openxmlformats.org/drawingml/2006/main">
              <a:graphicData uri="http://schemas.openxmlformats.org/drawingml/2006/picture">
                <pic:pic xmlns:pic="http://schemas.openxmlformats.org/drawingml/2006/picture">
                  <pic:nvPicPr>
                    <pic:cNvPr id="11" name="图片 11" descr="02"/>
                    <pic:cNvPicPr/>
                  </pic:nvPicPr>
                  <pic:blipFill>
                    <a:blip r:embed="rId18" cstate="print"/>
                    <a:stretch>
                      <a:fillRect/>
                    </a:stretch>
                  </pic:blipFill>
                  <pic:spPr>
                    <a:xfrm>
                      <a:off x="0" y="0"/>
                      <a:ext cx="1800225" cy="1080135"/>
                    </a:xfrm>
                    <a:prstGeom prst="rect">
                      <a:avLst/>
                    </a:prstGeom>
                  </pic:spPr>
                </pic:pic>
              </a:graphicData>
            </a:graphic>
          </wp:anchor>
        </w:drawing>
      </w:r>
      <w:r>
        <w:rPr>
          <w:rFonts w:ascii="微软雅黑" w:hAnsi="微软雅黑" w:eastAsia="微软雅黑" w:cs="微软雅黑"/>
          <w:b/>
          <w:bCs/>
          <w:color w:val="404040" w:themeColor="text1" w:themeTint="BF"/>
          <w:sz w:val="18"/>
          <w:szCs w:val="18"/>
          <w:u w:val="single"/>
          <w14:textFill>
            <w14:solidFill>
              <w14:schemeClr w14:val="tx1">
                <w14:lumMod w14:val="75000"/>
                <w14:lumOff w14:val="25000"/>
              </w14:schemeClr>
            </w14:solidFill>
          </w14:textFill>
        </w:rPr>
        <w:drawing>
          <wp:anchor distT="0" distB="0" distL="114300" distR="114300" simplePos="0" relativeHeight="251672576" behindDoc="1" locked="0" layoutInCell="1" allowOverlap="1">
            <wp:simplePos x="0" y="0"/>
            <wp:positionH relativeFrom="column">
              <wp:posOffset>2019300</wp:posOffset>
            </wp:positionH>
            <wp:positionV relativeFrom="paragraph">
              <wp:posOffset>301625</wp:posOffset>
            </wp:positionV>
            <wp:extent cx="1800225" cy="1080135"/>
            <wp:effectExtent l="0" t="0" r="3175" b="0"/>
            <wp:wrapThrough wrapText="bothSides">
              <wp:wrapPolygon>
                <wp:start x="0" y="0"/>
                <wp:lineTo x="0" y="21333"/>
                <wp:lineTo x="21486" y="21333"/>
                <wp:lineTo x="21486" y="0"/>
                <wp:lineTo x="0" y="0"/>
              </wp:wrapPolygon>
            </wp:wrapThrough>
            <wp:docPr id="20" name="图片 20" descr="784806679338317934"/>
            <wp:cNvGraphicFramePr/>
            <a:graphic xmlns:a="http://schemas.openxmlformats.org/drawingml/2006/main">
              <a:graphicData uri="http://schemas.openxmlformats.org/drawingml/2006/picture">
                <pic:pic xmlns:pic="http://schemas.openxmlformats.org/drawingml/2006/picture">
                  <pic:nvPicPr>
                    <pic:cNvPr id="20" name="图片 20" descr="784806679338317934"/>
                    <pic:cNvPicPr/>
                  </pic:nvPicPr>
                  <pic:blipFill>
                    <a:blip r:embed="rId19"/>
                    <a:stretch>
                      <a:fillRect/>
                    </a:stretch>
                  </pic:blipFill>
                  <pic:spPr>
                    <a:xfrm>
                      <a:off x="0" y="0"/>
                      <a:ext cx="1800225" cy="1080135"/>
                    </a:xfrm>
                    <a:prstGeom prst="rect">
                      <a:avLst/>
                    </a:prstGeom>
                  </pic:spPr>
                </pic:pic>
              </a:graphicData>
            </a:graphic>
          </wp:anchor>
        </w:drawing>
      </w:r>
      <w:r>
        <w:rPr>
          <w:rFonts w:hint="eastAsia" w:ascii="微软雅黑" w:hAnsi="微软雅黑" w:eastAsia="微软雅黑" w:cs="微软雅黑"/>
          <w:b/>
          <w:bCs/>
          <w:sz w:val="18"/>
          <w:szCs w:val="18"/>
        </w:rPr>
        <w:drawing>
          <wp:anchor distT="0" distB="0" distL="114300" distR="114300" simplePos="0" relativeHeight="251671552" behindDoc="1" locked="0" layoutInCell="1" allowOverlap="1">
            <wp:simplePos x="0" y="0"/>
            <wp:positionH relativeFrom="column">
              <wp:posOffset>0</wp:posOffset>
            </wp:positionH>
            <wp:positionV relativeFrom="paragraph">
              <wp:posOffset>300990</wp:posOffset>
            </wp:positionV>
            <wp:extent cx="1800225" cy="1080135"/>
            <wp:effectExtent l="0" t="0" r="9525" b="43815"/>
            <wp:wrapThrough wrapText="bothSides">
              <wp:wrapPolygon>
                <wp:start x="0" y="0"/>
                <wp:lineTo x="0" y="21333"/>
                <wp:lineTo x="21486" y="21333"/>
                <wp:lineTo x="21486" y="0"/>
                <wp:lineTo x="0" y="0"/>
              </wp:wrapPolygon>
            </wp:wrapThrough>
            <wp:docPr id="19" name="图片 19" descr="475913125103273601"/>
            <wp:cNvGraphicFramePr/>
            <a:graphic xmlns:a="http://schemas.openxmlformats.org/drawingml/2006/main">
              <a:graphicData uri="http://schemas.openxmlformats.org/drawingml/2006/picture">
                <pic:pic xmlns:pic="http://schemas.openxmlformats.org/drawingml/2006/picture">
                  <pic:nvPicPr>
                    <pic:cNvPr id="19" name="图片 19" descr="475913125103273601"/>
                    <pic:cNvPicPr/>
                  </pic:nvPicPr>
                  <pic:blipFill>
                    <a:blip r:embed="rId20"/>
                    <a:stretch>
                      <a:fillRect/>
                    </a:stretch>
                  </pic:blipFill>
                  <pic:spPr>
                    <a:xfrm>
                      <a:off x="0" y="0"/>
                      <a:ext cx="1800225" cy="1080135"/>
                    </a:xfrm>
                    <a:prstGeom prst="rect">
                      <a:avLst/>
                    </a:prstGeom>
                  </pic:spPr>
                </pic:pic>
              </a:graphicData>
            </a:graphic>
          </wp:anchor>
        </w:drawing>
      </w:r>
    </w:p>
    <w:p>
      <w:pPr>
        <w:spacing w:line="480" w:lineRule="exact"/>
        <w:rPr>
          <w:rStyle w:val="8"/>
          <w:rFonts w:ascii="微软雅黑" w:hAnsi="微软雅黑" w:eastAsia="微软雅黑"/>
          <w:bCs/>
          <w:color w:val="333F50" w:themeColor="text2" w:themeShade="BF"/>
          <w:sz w:val="22"/>
          <w:szCs w:val="20"/>
        </w:rPr>
      </w:pPr>
    </w:p>
    <w:p>
      <w:pPr>
        <w:jc w:val="center"/>
      </w:pPr>
    </w:p>
    <w:p>
      <w:pPr>
        <w:jc w:val="center"/>
      </w:pPr>
    </w:p>
    <w:p>
      <w:pPr>
        <w:jc w:val="center"/>
      </w:pPr>
    </w:p>
    <w:p>
      <w:pPr>
        <w:jc w:val="center"/>
      </w:pPr>
    </w:p>
    <w:p/>
    <w:p>
      <w:pPr>
        <w:rPr>
          <w:rFonts w:ascii="仿宋" w:hAnsi="仿宋" w:eastAsia="仿宋" w:cs="仿宋"/>
          <w:b/>
          <w:bCs/>
        </w:rPr>
      </w:pPr>
      <w:r>
        <w:rPr>
          <w:rFonts w:hint="eastAsia" w:ascii="仿宋" w:hAnsi="仿宋" w:eastAsia="仿宋" w:cs="仿宋"/>
          <w:b/>
          <w:bCs/>
        </w:rPr>
        <w:t>美方学校：</w:t>
      </w:r>
    </w:p>
    <w:p>
      <w:pPr>
        <w:spacing w:after="150" w:line="360" w:lineRule="auto"/>
        <w:rPr>
          <w:rFonts w:ascii="仿宋" w:hAnsi="仿宋" w:eastAsia="仿宋" w:cs="仿宋"/>
          <w:b/>
          <w:color w:val="000000"/>
          <w:lang w:bidi="ar"/>
        </w:rPr>
      </w:pPr>
      <w:r>
        <w:rPr>
          <w:rFonts w:hint="eastAsia" w:ascii="仿宋" w:hAnsi="仿宋" w:eastAsia="仿宋" w:cs="仿宋"/>
          <w:b/>
          <w:color w:val="000000"/>
          <w:lang w:bidi="ar"/>
        </w:rPr>
        <w:t xml:space="preserve">加利福尼亚大学河滨分校 </w:t>
      </w:r>
    </w:p>
    <w:p>
      <w:pPr>
        <w:spacing w:line="360" w:lineRule="auto"/>
        <w:rPr>
          <w:rFonts w:ascii="仿宋" w:hAnsi="仿宋" w:eastAsia="仿宋"/>
          <w:color w:val="57585A"/>
        </w:rPr>
      </w:pPr>
      <w:r>
        <w:rPr>
          <w:rFonts w:hint="eastAsia" w:ascii="仿宋" w:hAnsi="仿宋" w:eastAsia="仿宋"/>
          <w:color w:val="57585A"/>
        </w:rPr>
        <w:t>加利福尼亚大学河滨分校（英文：University of California，Riverside），简称UC Riverside或UCR，是一所公立综合性研究型大学，美国大学协会AAU成员，被誉为公立常春藤，环太平洋大学联盟和国际公立大学论坛成员。是世界上最具影响力的公立大学系统之一，加州大学系统中十所学校之一，也是该系统中发展最快的一所大学。该校非常重视科研，拥有加州大学傲人的学术传统。</w:t>
      </w:r>
    </w:p>
    <w:p>
      <w:pPr>
        <w:spacing w:line="360" w:lineRule="auto"/>
        <w:jc w:val="center"/>
        <w:rPr>
          <w:rFonts w:hint="eastAsia" w:ascii="仿宋" w:hAnsi="仿宋" w:eastAsia="仿宋"/>
          <w:color w:val="57585A"/>
        </w:rPr>
      </w:pPr>
      <w:r>
        <w:fldChar w:fldCharType="begin"/>
      </w:r>
      <w:r>
        <w:instrText xml:space="preserve"> INCLUDEPICTURE "/Users/gwenchen/Library/Group Containers/UBF8T346G9.ms/WebArchiveCopyPasteTempFiles/com.microsoft.Word/38F05DE48D50D36CE3F1900575C_38BDDB65_5ED836.bmp" \* MERGEFORMATINET </w:instrText>
      </w:r>
      <w:r>
        <w:fldChar w:fldCharType="separate"/>
      </w:r>
      <w:r>
        <w:drawing>
          <wp:inline distT="0" distB="0" distL="0" distR="0">
            <wp:extent cx="3537585" cy="2338705"/>
            <wp:effectExtent l="12700" t="12700" r="18415" b="10795"/>
            <wp:docPr id="6856680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668012" name="图片 1"/>
                    <pic:cNvPicPr>
                      <a:picLocks noChangeAspect="1" noChangeArrowheads="1"/>
                    </pic:cNvPicPr>
                  </pic:nvPicPr>
                  <pic:blipFill>
                    <a:blip r:embed="rId21" cstate="print">
                      <a:extLst>
                        <a:ext uri="{28A0092B-C50C-407E-A947-70E740481C1C}">
                          <a14:useLocalDpi xmlns:a14="http://schemas.microsoft.com/office/drawing/2010/main" val="0"/>
                        </a:ext>
                      </a:extLst>
                    </a:blip>
                    <a:srcRect l="-232" t="307" r="5035" b="16020"/>
                    <a:stretch>
                      <a:fillRect/>
                    </a:stretch>
                  </pic:blipFill>
                  <pic:spPr>
                    <a:xfrm>
                      <a:off x="0" y="0"/>
                      <a:ext cx="3594008" cy="2375700"/>
                    </a:xfrm>
                    <a:prstGeom prst="rect">
                      <a:avLst/>
                    </a:prstGeom>
                    <a:noFill/>
                    <a:ln w="3175">
                      <a:solidFill>
                        <a:schemeClr val="accent1">
                          <a:alpha val="32000"/>
                        </a:schemeClr>
                      </a:solidFill>
                    </a:ln>
                  </pic:spPr>
                </pic:pic>
              </a:graphicData>
            </a:graphic>
          </wp:inline>
        </w:drawing>
      </w:r>
      <w:r>
        <w:fldChar w:fldCharType="end"/>
      </w:r>
    </w:p>
    <w:p>
      <w:pPr>
        <w:spacing w:after="150" w:line="360" w:lineRule="auto"/>
        <w:rPr>
          <w:rFonts w:ascii="仿宋" w:hAnsi="仿宋" w:eastAsia="仿宋" w:cs="仿宋"/>
          <w:b/>
          <w:color w:val="000000"/>
          <w:lang w:bidi="ar"/>
        </w:rPr>
      </w:pPr>
      <w:r>
        <w:rPr>
          <w:rFonts w:hint="eastAsia" w:ascii="仿宋" w:hAnsi="仿宋" w:eastAsia="仿宋" w:cs="仿宋"/>
          <w:b/>
          <w:color w:val="000000"/>
          <w:lang w:bidi="ar"/>
        </w:rPr>
        <w:t xml:space="preserve">加利福尼亚大学洛杉矶分校 </w:t>
      </w:r>
    </w:p>
    <w:p>
      <w:pPr>
        <w:spacing w:after="150" w:line="360" w:lineRule="auto"/>
        <w:rPr>
          <w:rFonts w:ascii="仿宋" w:hAnsi="仿宋" w:eastAsia="仿宋" w:cs="仿宋"/>
          <w:bCs/>
          <w:color w:val="000000"/>
          <w:lang w:bidi="ar"/>
        </w:rPr>
      </w:pPr>
      <w:r>
        <w:rPr>
          <w:rFonts w:hint="eastAsia" w:ascii="仿宋" w:hAnsi="仿宋" w:eastAsia="仿宋" w:cs="仿宋"/>
          <w:bCs/>
          <w:color w:val="000000"/>
          <w:lang w:bidi="ar"/>
        </w:rPr>
        <w:t>加利福尼亚大学洛杉矶分校（University of California, Los Angeles，简称：UCLA） ，是位于美国洛杉矶的公立研究型大学，是环太平洋大学联盟和国际公立大学论坛成员，被誉为“公立常春藤”，入选英国政府“高潜力人才签证计划”</w:t>
      </w:r>
    </w:p>
    <w:p>
      <w:pPr>
        <w:rPr>
          <w:rFonts w:hint="eastAsia"/>
        </w:rPr>
      </w:pPr>
      <w:r>
        <w:drawing>
          <wp:inline distT="0" distB="0" distL="0" distR="0">
            <wp:extent cx="6645910" cy="2016125"/>
            <wp:effectExtent l="0" t="0" r="0" b="3175"/>
            <wp:docPr id="13313789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378963" name="图片 1"/>
                    <pic:cNvPicPr>
                      <a:picLocks noChangeAspect="1"/>
                    </pic:cNvPicPr>
                  </pic:nvPicPr>
                  <pic:blipFill>
                    <a:blip r:embed="rId22"/>
                    <a:stretch>
                      <a:fillRect/>
                    </a:stretch>
                  </pic:blipFill>
                  <pic:spPr>
                    <a:xfrm>
                      <a:off x="0" y="0"/>
                      <a:ext cx="6645910" cy="2016125"/>
                    </a:xfrm>
                    <a:prstGeom prst="rect">
                      <a:avLst/>
                    </a:prstGeom>
                  </pic:spPr>
                </pic:pic>
              </a:graphicData>
            </a:graphic>
          </wp:inline>
        </w:drawing>
      </w:r>
    </w:p>
    <w:p>
      <w:pPr>
        <w:spacing w:after="150" w:line="360" w:lineRule="auto"/>
        <w:rPr>
          <w:rFonts w:ascii="仿宋" w:hAnsi="仿宋" w:eastAsia="仿宋" w:cs="仿宋"/>
          <w:b/>
          <w:color w:val="000000"/>
          <w:lang w:bidi="ar"/>
        </w:rPr>
      </w:pPr>
      <w:r>
        <w:rPr>
          <w:rFonts w:hint="eastAsia" w:ascii="仿宋" w:hAnsi="仿宋" w:eastAsia="仿宋" w:cs="仿宋"/>
          <w:b/>
          <w:color w:val="000000"/>
          <w:lang w:bidi="ar"/>
        </w:rPr>
        <w:t xml:space="preserve">斯坦福大学 </w:t>
      </w:r>
    </w:p>
    <w:p>
      <w:pPr>
        <w:spacing w:after="150" w:line="360" w:lineRule="auto"/>
        <w:rPr>
          <w:rFonts w:ascii="仿宋" w:hAnsi="仿宋" w:eastAsia="仿宋" w:cs="仿宋"/>
          <w:bCs/>
          <w:color w:val="000000"/>
          <w:lang w:bidi="ar"/>
        </w:rPr>
      </w:pPr>
      <w:r>
        <w:rPr>
          <w:rFonts w:hint="eastAsia" w:ascii="仿宋" w:hAnsi="仿宋" w:eastAsia="仿宋" w:cs="仿宋"/>
          <w:bCs/>
          <w:color w:val="000000"/>
          <w:lang w:bidi="ar"/>
        </w:rPr>
        <w:t>斯坦福大学（Stanford University），全名小利兰·斯坦福大学（Leland Stanford Junior University），简称“斯坦福”，位于美国加州旧金山湾区南部帕罗奥多市境内，临近高科技园区硅谷（Silicon Valley），是私立研究型大学，全球大学校长论坛成员，全球大学高研院联盟成员。斯坦福大学于1885年成立，1891年开始正式招生，占地约33平方公里（8180英亩），是美国占地面积最大的大学之一。</w:t>
      </w:r>
    </w:p>
    <w:p>
      <w:pPr>
        <w:jc w:val="center"/>
        <w:rPr>
          <w:rFonts w:hint="eastAsia"/>
        </w:rPr>
      </w:pPr>
      <w:r>
        <w:drawing>
          <wp:inline distT="0" distB="0" distL="0" distR="0">
            <wp:extent cx="3994150" cy="3994150"/>
            <wp:effectExtent l="0" t="0" r="6350" b="6350"/>
            <wp:docPr id="9035383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538337" name="图片 1"/>
                    <pic:cNvPicPr>
                      <a:picLocks noChangeAspect="1"/>
                    </pic:cNvPicPr>
                  </pic:nvPicPr>
                  <pic:blipFill>
                    <a:blip r:embed="rId23"/>
                    <a:stretch>
                      <a:fillRect/>
                    </a:stretch>
                  </pic:blipFill>
                  <pic:spPr>
                    <a:xfrm>
                      <a:off x="0" y="0"/>
                      <a:ext cx="4024773" cy="4024773"/>
                    </a:xfrm>
                    <a:prstGeom prst="rect">
                      <a:avLst/>
                    </a:prstGeom>
                  </pic:spPr>
                </pic:pic>
              </a:graphicData>
            </a:graphic>
          </wp:inline>
        </w:drawing>
      </w:r>
    </w:p>
    <w:p>
      <w:pPr>
        <w:spacing w:after="150" w:line="360" w:lineRule="auto"/>
        <w:rPr>
          <w:rFonts w:ascii="仿宋" w:hAnsi="仿宋" w:eastAsia="仿宋" w:cs="仿宋"/>
          <w:b/>
          <w:bCs/>
        </w:rPr>
      </w:pPr>
      <w:r>
        <w:rPr>
          <w:rFonts w:hint="eastAsia" w:ascii="仿宋" w:hAnsi="仿宋" w:eastAsia="仿宋" w:cs="仿宋"/>
          <w:b/>
          <w:bCs/>
        </w:rPr>
        <w:t>行程示例：</w:t>
      </w:r>
    </w:p>
    <w:tbl>
      <w:tblPr>
        <w:tblStyle w:val="6"/>
        <w:tblW w:w="10456" w:type="dxa"/>
        <w:tblInd w:w="0" w:type="dxa"/>
        <w:tblLayout w:type="autofit"/>
        <w:tblCellMar>
          <w:top w:w="0" w:type="dxa"/>
          <w:left w:w="108" w:type="dxa"/>
          <w:bottom w:w="0" w:type="dxa"/>
          <w:right w:w="108" w:type="dxa"/>
        </w:tblCellMar>
      </w:tblPr>
      <w:tblGrid>
        <w:gridCol w:w="1980"/>
        <w:gridCol w:w="3402"/>
        <w:gridCol w:w="3544"/>
        <w:gridCol w:w="1530"/>
      </w:tblGrid>
      <w:tr>
        <w:tblPrEx>
          <w:tblCellMar>
            <w:top w:w="0" w:type="dxa"/>
            <w:left w:w="108" w:type="dxa"/>
            <w:bottom w:w="0" w:type="dxa"/>
            <w:right w:w="108" w:type="dxa"/>
          </w:tblCellMar>
        </w:tblPrEx>
        <w:trPr>
          <w:trHeight w:val="540" w:hRule="atLeast"/>
        </w:trPr>
        <w:tc>
          <w:tcPr>
            <w:tcW w:w="10456" w:type="dxa"/>
            <w:gridSpan w:val="4"/>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ascii="仿宋" w:hAnsi="仿宋" w:eastAsia="仿宋"/>
                <w:b/>
                <w:bCs/>
                <w:color w:val="000000"/>
                <w:sz w:val="28"/>
                <w:szCs w:val="28"/>
              </w:rPr>
            </w:pPr>
            <w:r>
              <w:rPr>
                <w:rFonts w:hint="eastAsia" w:ascii="仿宋" w:hAnsi="仿宋" w:eastAsia="仿宋"/>
                <w:b/>
                <w:bCs/>
                <w:color w:val="000000"/>
                <w:sz w:val="28"/>
                <w:szCs w:val="28"/>
              </w:rPr>
              <w:t>2024 年暑假名校进名企美国访学项目行程示例（一个月）</w:t>
            </w:r>
          </w:p>
        </w:tc>
      </w:tr>
      <w:tr>
        <w:tblPrEx>
          <w:tblCellMar>
            <w:top w:w="0" w:type="dxa"/>
            <w:left w:w="108" w:type="dxa"/>
            <w:bottom w:w="0" w:type="dxa"/>
            <w:right w:w="108" w:type="dxa"/>
          </w:tblCellMar>
        </w:tblPrEx>
        <w:trPr>
          <w:trHeight w:val="6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b/>
                <w:bCs/>
                <w:color w:val="000000"/>
                <w:sz w:val="21"/>
                <w:szCs w:val="21"/>
              </w:rPr>
            </w:pPr>
            <w:r>
              <w:rPr>
                <w:rFonts w:hint="eastAsia" w:ascii="仿宋" w:hAnsi="仿宋" w:eastAsia="仿宋"/>
                <w:b/>
                <w:bCs/>
                <w:color w:val="000000"/>
                <w:sz w:val="21"/>
                <w:szCs w:val="21"/>
              </w:rPr>
              <w:t>日期</w:t>
            </w:r>
          </w:p>
        </w:tc>
        <w:tc>
          <w:tcPr>
            <w:tcW w:w="3402"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b/>
                <w:bCs/>
                <w:color w:val="000000"/>
                <w:sz w:val="21"/>
                <w:szCs w:val="21"/>
              </w:rPr>
            </w:pPr>
            <w:r>
              <w:rPr>
                <w:rFonts w:hint="eastAsia" w:ascii="仿宋" w:hAnsi="仿宋" w:eastAsia="仿宋"/>
                <w:b/>
                <w:bCs/>
                <w:color w:val="000000"/>
                <w:sz w:val="21"/>
                <w:szCs w:val="21"/>
              </w:rPr>
              <w:t>企业名称</w:t>
            </w:r>
          </w:p>
        </w:tc>
        <w:tc>
          <w:tcPr>
            <w:tcW w:w="3544"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b/>
                <w:bCs/>
                <w:color w:val="000000"/>
                <w:sz w:val="21"/>
                <w:szCs w:val="21"/>
              </w:rPr>
            </w:pPr>
            <w:r>
              <w:rPr>
                <w:rFonts w:hint="eastAsia" w:ascii="仿宋" w:hAnsi="仿宋" w:eastAsia="仿宋"/>
                <w:b/>
                <w:bCs/>
                <w:color w:val="000000"/>
                <w:sz w:val="21"/>
                <w:szCs w:val="21"/>
              </w:rPr>
              <w:t>参访学习主题</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b/>
                <w:bCs/>
                <w:color w:val="000000"/>
                <w:sz w:val="21"/>
                <w:szCs w:val="21"/>
              </w:rPr>
            </w:pPr>
            <w:r>
              <w:rPr>
                <w:rFonts w:hint="eastAsia" w:ascii="仿宋" w:hAnsi="仿宋" w:eastAsia="仿宋"/>
                <w:b/>
                <w:bCs/>
                <w:color w:val="000000"/>
                <w:sz w:val="21"/>
                <w:szCs w:val="21"/>
              </w:rPr>
              <w:t>地点</w:t>
            </w:r>
          </w:p>
        </w:tc>
      </w:tr>
      <w:tr>
        <w:tblPrEx>
          <w:tblCellMar>
            <w:top w:w="0" w:type="dxa"/>
            <w:left w:w="108" w:type="dxa"/>
            <w:bottom w:w="0" w:type="dxa"/>
            <w:right w:w="108" w:type="dxa"/>
          </w:tblCellMar>
        </w:tblPrEx>
        <w:trPr>
          <w:trHeight w:val="4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第一天（中国时间7月20日周六；美国时间7月19日周五）</w:t>
            </w:r>
          </w:p>
        </w:tc>
        <w:tc>
          <w:tcPr>
            <w:tcW w:w="8476" w:type="dxa"/>
            <w:gridSpan w:val="3"/>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出发赴美，抵达美国，欢迎仪式，与寄宿家庭见面</w:t>
            </w:r>
          </w:p>
        </w:tc>
      </w:tr>
      <w:tr>
        <w:tblPrEx>
          <w:tblCellMar>
            <w:top w:w="0" w:type="dxa"/>
            <w:left w:w="108" w:type="dxa"/>
            <w:bottom w:w="0" w:type="dxa"/>
            <w:right w:w="108" w:type="dxa"/>
          </w:tblCellMar>
        </w:tblPrEx>
        <w:trPr>
          <w:trHeight w:val="7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第二天（美国时间7月20日周六）</w:t>
            </w:r>
          </w:p>
        </w:tc>
        <w:tc>
          <w:tcPr>
            <w:tcW w:w="6946" w:type="dxa"/>
            <w:gridSpan w:val="2"/>
            <w:tcBorders>
              <w:top w:val="single" w:color="auto" w:sz="4" w:space="0"/>
              <w:left w:val="nil"/>
              <w:bottom w:val="single" w:color="auto" w:sz="4" w:space="0"/>
              <w:right w:val="single" w:color="000000"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项目动员会：介绍家庭结构和文化课题</w:t>
            </w:r>
          </w:p>
          <w:p>
            <w:pPr>
              <w:jc w:val="center"/>
              <w:rPr>
                <w:rFonts w:hint="eastAsia" w:ascii="仿宋" w:hAnsi="仿宋" w:eastAsia="仿宋"/>
                <w:color w:val="000000"/>
                <w:sz w:val="21"/>
                <w:szCs w:val="21"/>
              </w:rPr>
            </w:pPr>
            <w:r>
              <w:rPr>
                <w:rFonts w:hint="eastAsia" w:ascii="仿宋" w:hAnsi="仿宋" w:eastAsia="仿宋"/>
                <w:color w:val="000000"/>
                <w:sz w:val="21"/>
                <w:szCs w:val="21"/>
              </w:rPr>
              <w:t>与美国家庭共度自由时间</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洛杉矶南加利福尼亚高沙漠地区</w:t>
            </w:r>
          </w:p>
        </w:tc>
      </w:tr>
      <w:tr>
        <w:tblPrEx>
          <w:tblCellMar>
            <w:top w:w="0" w:type="dxa"/>
            <w:left w:w="108" w:type="dxa"/>
            <w:bottom w:w="0" w:type="dxa"/>
            <w:right w:w="108" w:type="dxa"/>
          </w:tblCellMar>
        </w:tblPrEx>
        <w:trPr>
          <w:trHeight w:val="4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第三天（美国时间7月21日周日）</w:t>
            </w:r>
          </w:p>
        </w:tc>
        <w:tc>
          <w:tcPr>
            <w:tcW w:w="6946" w:type="dxa"/>
            <w:gridSpan w:val="2"/>
            <w:tcBorders>
              <w:top w:val="single" w:color="auto" w:sz="4" w:space="0"/>
              <w:left w:val="nil"/>
              <w:bottom w:val="single" w:color="auto" w:sz="4" w:space="0"/>
              <w:right w:val="single" w:color="000000"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与美国家庭共度自由时间</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洛杉矶南加利福尼亚高沙漠地区</w:t>
            </w:r>
          </w:p>
        </w:tc>
      </w:tr>
      <w:tr>
        <w:tblPrEx>
          <w:tblCellMar>
            <w:top w:w="0" w:type="dxa"/>
            <w:left w:w="108" w:type="dxa"/>
            <w:bottom w:w="0" w:type="dxa"/>
            <w:right w:w="108" w:type="dxa"/>
          </w:tblCellMar>
        </w:tblPrEx>
        <w:trPr>
          <w:trHeight w:val="21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第四天（美国时间7月22日周一）</w:t>
            </w:r>
          </w:p>
        </w:tc>
        <w:tc>
          <w:tcPr>
            <w:tcW w:w="3402" w:type="dxa"/>
            <w:tcBorders>
              <w:top w:val="nil"/>
              <w:left w:val="nil"/>
              <w:bottom w:val="single" w:color="auto" w:sz="4" w:space="0"/>
              <w:right w:val="nil"/>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美国社区大学：College of the Desert (COD)/Barstow Community College (BCC)/其他</w:t>
            </w:r>
          </w:p>
          <w:p>
            <w:pPr>
              <w:jc w:val="center"/>
              <w:rPr>
                <w:rFonts w:hint="eastAsia" w:ascii="仿宋" w:hAnsi="仿宋" w:eastAsia="仿宋"/>
                <w:color w:val="000000"/>
                <w:sz w:val="21"/>
                <w:szCs w:val="21"/>
              </w:rPr>
            </w:pPr>
            <w:r>
              <w:rPr>
                <w:rFonts w:hint="eastAsia" w:ascii="仿宋" w:hAnsi="仿宋" w:eastAsia="仿宋"/>
                <w:color w:val="000000"/>
                <w:sz w:val="21"/>
                <w:szCs w:val="21"/>
              </w:rPr>
              <w:t>以上其中一所</w:t>
            </w:r>
          </w:p>
        </w:tc>
        <w:tc>
          <w:tcPr>
            <w:tcW w:w="3544" w:type="dxa"/>
            <w:tcBorders>
              <w:top w:val="nil"/>
              <w:left w:val="single" w:color="auto" w:sz="4" w:space="0"/>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主题课程1 了解美国社区大学</w:t>
            </w:r>
          </w:p>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每个社区大学都提供不同程度的学术和职业课程，并帮助学生转入四年制大学完成学士学位。</w:t>
            </w:r>
          </w:p>
          <w:p>
            <w:pPr>
              <w:jc w:val="center"/>
              <w:rPr>
                <w:rFonts w:hint="eastAsia" w:ascii="仿宋" w:hAnsi="仿宋" w:eastAsia="仿宋"/>
                <w:color w:val="000000"/>
                <w:sz w:val="21"/>
                <w:szCs w:val="21"/>
              </w:rPr>
            </w:pPr>
            <w:r>
              <w:rPr>
                <w:rFonts w:hint="eastAsia" w:ascii="仿宋" w:hAnsi="仿宋" w:eastAsia="仿宋"/>
                <w:color w:val="000000"/>
                <w:sz w:val="21"/>
                <w:szCs w:val="21"/>
              </w:rPr>
              <w:t>社区学院跟UC系统六所分校有tag转学协议有机会转学到加州大学洛杉矶分校（UCLA）和南加州大学（USC）</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114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第五天（美国时间7月23日周二）</w:t>
            </w:r>
          </w:p>
        </w:tc>
        <w:tc>
          <w:tcPr>
            <w:tcW w:w="3402" w:type="dxa"/>
            <w:tcBorders>
              <w:top w:val="nil"/>
              <w:left w:val="nil"/>
              <w:bottom w:val="single" w:color="auto" w:sz="4" w:space="0"/>
              <w:right w:val="nil"/>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美国社区大学：College of the Desert (COD)/Barstow Community College (BCC)/其他</w:t>
            </w:r>
          </w:p>
          <w:p>
            <w:pPr>
              <w:jc w:val="center"/>
              <w:rPr>
                <w:rFonts w:hint="eastAsia" w:ascii="仿宋" w:hAnsi="仿宋" w:eastAsia="仿宋"/>
                <w:color w:val="000000"/>
                <w:sz w:val="21"/>
                <w:szCs w:val="21"/>
              </w:rPr>
            </w:pPr>
            <w:r>
              <w:rPr>
                <w:rFonts w:hint="eastAsia" w:ascii="仿宋" w:hAnsi="仿宋" w:eastAsia="仿宋"/>
                <w:color w:val="000000"/>
                <w:sz w:val="21"/>
                <w:szCs w:val="21"/>
              </w:rPr>
              <w:t>以上其中一所</w:t>
            </w:r>
          </w:p>
        </w:tc>
        <w:tc>
          <w:tcPr>
            <w:tcW w:w="3544" w:type="dxa"/>
            <w:tcBorders>
              <w:top w:val="nil"/>
              <w:left w:val="single" w:color="auto" w:sz="4" w:space="0"/>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 xml:space="preserve">主题课程2 </w:t>
            </w:r>
          </w:p>
          <w:p>
            <w:pPr>
              <w:jc w:val="center"/>
              <w:rPr>
                <w:rFonts w:hint="eastAsia" w:ascii="仿宋" w:hAnsi="仿宋" w:eastAsia="仿宋"/>
                <w:color w:val="000000"/>
                <w:sz w:val="21"/>
                <w:szCs w:val="21"/>
              </w:rPr>
            </w:pPr>
            <w:r>
              <w:rPr>
                <w:rFonts w:hint="eastAsia" w:ascii="仿宋" w:hAnsi="仿宋" w:eastAsia="仿宋"/>
                <w:color w:val="000000"/>
                <w:sz w:val="21"/>
                <w:szCs w:val="21"/>
              </w:rPr>
              <w:t>商业思维训练1</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124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第六天（美国时间7月24日周三）</w:t>
            </w:r>
          </w:p>
        </w:tc>
        <w:tc>
          <w:tcPr>
            <w:tcW w:w="3402" w:type="dxa"/>
            <w:tcBorders>
              <w:top w:val="nil"/>
              <w:left w:val="nil"/>
              <w:bottom w:val="single" w:color="auto" w:sz="4" w:space="0"/>
              <w:right w:val="nil"/>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美国社区大学：College of the Desert (COD)/Barstow Community College (BCC)/其他</w:t>
            </w:r>
          </w:p>
          <w:p>
            <w:pPr>
              <w:jc w:val="center"/>
              <w:rPr>
                <w:rFonts w:hint="eastAsia" w:ascii="仿宋" w:hAnsi="仿宋" w:eastAsia="仿宋"/>
                <w:color w:val="000000"/>
                <w:sz w:val="21"/>
                <w:szCs w:val="21"/>
              </w:rPr>
            </w:pPr>
            <w:r>
              <w:rPr>
                <w:rFonts w:hint="eastAsia" w:ascii="仿宋" w:hAnsi="仿宋" w:eastAsia="仿宋"/>
                <w:color w:val="000000"/>
                <w:sz w:val="21"/>
                <w:szCs w:val="21"/>
              </w:rPr>
              <w:t>以上其中一所</w:t>
            </w:r>
          </w:p>
        </w:tc>
        <w:tc>
          <w:tcPr>
            <w:tcW w:w="3544" w:type="dxa"/>
            <w:tcBorders>
              <w:top w:val="nil"/>
              <w:left w:val="single" w:color="auto" w:sz="4" w:space="0"/>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主题课程3</w:t>
            </w:r>
          </w:p>
          <w:p>
            <w:pPr>
              <w:jc w:val="center"/>
              <w:rPr>
                <w:rFonts w:hint="eastAsia" w:ascii="仿宋" w:hAnsi="仿宋" w:eastAsia="仿宋"/>
                <w:color w:val="000000"/>
                <w:sz w:val="21"/>
                <w:szCs w:val="21"/>
              </w:rPr>
            </w:pPr>
            <w:r>
              <w:rPr>
                <w:rFonts w:hint="eastAsia" w:ascii="仿宋" w:hAnsi="仿宋" w:eastAsia="仿宋"/>
                <w:color w:val="000000"/>
                <w:sz w:val="21"/>
                <w:szCs w:val="21"/>
              </w:rPr>
              <w:t>商业思维训练2</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198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第七天（美国时间7月25日周四）</w:t>
            </w:r>
          </w:p>
        </w:tc>
        <w:tc>
          <w:tcPr>
            <w:tcW w:w="3402" w:type="dxa"/>
            <w:tcBorders>
              <w:top w:val="nil"/>
              <w:left w:val="nil"/>
              <w:bottom w:val="single" w:color="auto" w:sz="4" w:space="0"/>
              <w:right w:val="nil"/>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加州大学欧文分校（University of California, Irvine，UCI）/加州大学河滨分校（University of California, Riverside，UCR）/拉文大学（University of La Verne）/佩珀代因大学（Pepperdine University）</w:t>
            </w:r>
          </w:p>
          <w:p>
            <w:pPr>
              <w:jc w:val="center"/>
              <w:rPr>
                <w:rFonts w:hint="eastAsia" w:ascii="仿宋" w:hAnsi="仿宋" w:eastAsia="仿宋"/>
                <w:color w:val="000000"/>
                <w:sz w:val="21"/>
                <w:szCs w:val="21"/>
              </w:rPr>
            </w:pPr>
            <w:r>
              <w:rPr>
                <w:rFonts w:hint="eastAsia" w:ascii="仿宋" w:hAnsi="仿宋" w:eastAsia="仿宋"/>
                <w:color w:val="000000"/>
                <w:sz w:val="21"/>
                <w:szCs w:val="21"/>
              </w:rPr>
              <w:t>以上其中一所</w:t>
            </w:r>
          </w:p>
        </w:tc>
        <w:tc>
          <w:tcPr>
            <w:tcW w:w="3544" w:type="dxa"/>
            <w:tcBorders>
              <w:top w:val="nil"/>
              <w:left w:val="single" w:color="auto" w:sz="4" w:space="0"/>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主题课程4</w:t>
            </w:r>
          </w:p>
          <w:p>
            <w:pPr>
              <w:jc w:val="center"/>
              <w:rPr>
                <w:rFonts w:hint="eastAsia" w:ascii="仿宋" w:hAnsi="仿宋" w:eastAsia="仿宋"/>
                <w:color w:val="000000"/>
                <w:sz w:val="21"/>
                <w:szCs w:val="21"/>
              </w:rPr>
            </w:pPr>
            <w:r>
              <w:rPr>
                <w:rFonts w:hint="eastAsia" w:ascii="仿宋" w:hAnsi="仿宋" w:eastAsia="仿宋"/>
                <w:color w:val="000000"/>
                <w:sz w:val="21"/>
                <w:szCs w:val="21"/>
              </w:rPr>
              <w:t xml:space="preserve">了解美国公立大学体系 </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2000" w:hRule="atLeast"/>
        </w:trPr>
        <w:tc>
          <w:tcPr>
            <w:tcW w:w="198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第八天（美国时间7月26日周五）</w:t>
            </w:r>
          </w:p>
        </w:tc>
        <w:tc>
          <w:tcPr>
            <w:tcW w:w="3402" w:type="dxa"/>
            <w:tcBorders>
              <w:top w:val="single" w:color="auto" w:sz="4" w:space="0"/>
              <w:left w:val="nil"/>
              <w:bottom w:val="single" w:color="auto" w:sz="4" w:space="0"/>
              <w:right w:val="nil"/>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加州大学欧文分校（University of California, Irvine，UCI）/加州大学河滨分校（University of California, Riverside，UCR）/拉文大学（University of La Verne）/佩珀代因大学（Pepperdine University）</w:t>
            </w:r>
          </w:p>
          <w:p>
            <w:pPr>
              <w:jc w:val="center"/>
              <w:rPr>
                <w:rFonts w:hint="eastAsia" w:ascii="仿宋" w:hAnsi="仿宋" w:eastAsia="仿宋"/>
                <w:color w:val="000000"/>
                <w:sz w:val="21"/>
                <w:szCs w:val="21"/>
              </w:rPr>
            </w:pPr>
            <w:r>
              <w:rPr>
                <w:rFonts w:hint="eastAsia" w:ascii="仿宋" w:hAnsi="仿宋" w:eastAsia="仿宋"/>
                <w:color w:val="000000"/>
                <w:sz w:val="21"/>
                <w:szCs w:val="21"/>
              </w:rPr>
              <w:t>以上其中一所</w:t>
            </w:r>
          </w:p>
        </w:tc>
        <w:tc>
          <w:tcPr>
            <w:tcW w:w="3544"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主题课程5</w:t>
            </w:r>
          </w:p>
          <w:p>
            <w:pPr>
              <w:jc w:val="center"/>
              <w:rPr>
                <w:rFonts w:hint="eastAsia" w:ascii="仿宋" w:hAnsi="仿宋" w:eastAsia="仿宋"/>
                <w:color w:val="000000"/>
                <w:sz w:val="21"/>
                <w:szCs w:val="21"/>
              </w:rPr>
            </w:pPr>
            <w:r>
              <w:rPr>
                <w:rFonts w:hint="eastAsia" w:ascii="仿宋" w:hAnsi="仿宋" w:eastAsia="仿宋"/>
                <w:color w:val="000000"/>
                <w:sz w:val="21"/>
                <w:szCs w:val="21"/>
              </w:rPr>
              <w:t>商业思维训练3</w:t>
            </w:r>
          </w:p>
        </w:tc>
        <w:tc>
          <w:tcPr>
            <w:tcW w:w="1530" w:type="dxa"/>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400" w:hRule="atLeast"/>
        </w:trPr>
        <w:tc>
          <w:tcPr>
            <w:tcW w:w="198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第九天（美国时间7月27日周六）</w:t>
            </w:r>
          </w:p>
        </w:tc>
        <w:tc>
          <w:tcPr>
            <w:tcW w:w="6946"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与美国家庭共度自由时间</w:t>
            </w:r>
          </w:p>
        </w:tc>
        <w:tc>
          <w:tcPr>
            <w:tcW w:w="153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洛杉矶南加利福尼亚高沙漠地区</w:t>
            </w:r>
          </w:p>
        </w:tc>
      </w:tr>
      <w:tr>
        <w:tblPrEx>
          <w:tblCellMar>
            <w:top w:w="0" w:type="dxa"/>
            <w:left w:w="108" w:type="dxa"/>
            <w:bottom w:w="0" w:type="dxa"/>
            <w:right w:w="108" w:type="dxa"/>
          </w:tblCellMar>
        </w:tblPrEx>
        <w:trPr>
          <w:trHeight w:val="4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第十天（美国时间7月28日周日）</w:t>
            </w:r>
          </w:p>
        </w:tc>
        <w:tc>
          <w:tcPr>
            <w:tcW w:w="6946" w:type="dxa"/>
            <w:gridSpan w:val="2"/>
            <w:tcBorders>
              <w:top w:val="single" w:color="auto" w:sz="4" w:space="0"/>
              <w:left w:val="nil"/>
              <w:bottom w:val="single" w:color="auto" w:sz="4" w:space="0"/>
              <w:right w:val="single" w:color="000000"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与美国家庭共度自由时间</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洛杉矶南加利福尼亚高沙漠地区</w:t>
            </w:r>
          </w:p>
        </w:tc>
      </w:tr>
      <w:tr>
        <w:tblPrEx>
          <w:tblCellMar>
            <w:top w:w="0" w:type="dxa"/>
            <w:left w:w="108" w:type="dxa"/>
            <w:bottom w:w="0" w:type="dxa"/>
            <w:right w:w="108" w:type="dxa"/>
          </w:tblCellMar>
        </w:tblPrEx>
        <w:trPr>
          <w:trHeight w:val="66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第十一天（美国时间7月29日周一）</w:t>
            </w:r>
          </w:p>
        </w:tc>
        <w:tc>
          <w:tcPr>
            <w:tcW w:w="3402"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ICR 人力资源公司</w:t>
            </w:r>
          </w:p>
        </w:tc>
        <w:tc>
          <w:tcPr>
            <w:tcW w:w="3544" w:type="dxa"/>
            <w:tcBorders>
              <w:top w:val="nil"/>
              <w:left w:val="nil"/>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人力资源小型研讨会</w:t>
            </w:r>
          </w:p>
          <w:p>
            <w:pPr>
              <w:jc w:val="center"/>
              <w:rPr>
                <w:rFonts w:hint="eastAsia" w:ascii="仿宋" w:hAnsi="仿宋" w:eastAsia="仿宋"/>
                <w:color w:val="000000"/>
                <w:sz w:val="21"/>
                <w:szCs w:val="21"/>
              </w:rPr>
            </w:pPr>
            <w:r>
              <w:rPr>
                <w:rFonts w:hint="eastAsia" w:ascii="仿宋" w:hAnsi="仿宋" w:eastAsia="仿宋"/>
                <w:color w:val="000000"/>
                <w:sz w:val="21"/>
                <w:szCs w:val="21"/>
              </w:rPr>
              <w:t>模拟面试</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4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第十二天（美国时间7月30日周二）</w:t>
            </w:r>
          </w:p>
        </w:tc>
        <w:tc>
          <w:tcPr>
            <w:tcW w:w="6946" w:type="dxa"/>
            <w:gridSpan w:val="2"/>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迪士尼乐园</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4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第十三天（美国时间7月31日周三）</w:t>
            </w:r>
          </w:p>
        </w:tc>
        <w:tc>
          <w:tcPr>
            <w:tcW w:w="3402"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加州大学河滨分校</w:t>
            </w:r>
          </w:p>
        </w:tc>
        <w:tc>
          <w:tcPr>
            <w:tcW w:w="3544"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校园参访</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96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第十四天（美国时间8月1日周四）</w:t>
            </w:r>
          </w:p>
        </w:tc>
        <w:tc>
          <w:tcPr>
            <w:tcW w:w="6946" w:type="dxa"/>
            <w:gridSpan w:val="2"/>
            <w:tcBorders>
              <w:top w:val="single" w:color="auto" w:sz="4" w:space="0"/>
              <w:left w:val="nil"/>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橙县水务局-问答环节</w:t>
            </w:r>
          </w:p>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安哈姆体育场游览</w:t>
            </w:r>
          </w:p>
          <w:p>
            <w:pPr>
              <w:jc w:val="center"/>
              <w:rPr>
                <w:rFonts w:hint="eastAsia" w:ascii="仿宋" w:hAnsi="仿宋" w:eastAsia="仿宋"/>
                <w:color w:val="000000"/>
                <w:sz w:val="21"/>
                <w:szCs w:val="21"/>
              </w:rPr>
            </w:pPr>
            <w:r>
              <w:rPr>
                <w:rFonts w:hint="eastAsia" w:ascii="仿宋" w:hAnsi="仿宋" w:eastAsia="仿宋"/>
                <w:color w:val="000000"/>
                <w:sz w:val="21"/>
                <w:szCs w:val="21"/>
              </w:rPr>
              <w:t>幕后探秘</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4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第十五天（美国时间8月2日周五）</w:t>
            </w:r>
          </w:p>
        </w:tc>
        <w:tc>
          <w:tcPr>
            <w:tcW w:w="6946" w:type="dxa"/>
            <w:gridSpan w:val="2"/>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环球影城</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4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第十六天（美国时间8月3日周六）</w:t>
            </w:r>
          </w:p>
        </w:tc>
        <w:tc>
          <w:tcPr>
            <w:tcW w:w="6946" w:type="dxa"/>
            <w:gridSpan w:val="2"/>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与美国家庭共度周末</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洛杉矶南加利福尼亚高沙漠地区</w:t>
            </w:r>
          </w:p>
        </w:tc>
      </w:tr>
      <w:tr>
        <w:tblPrEx>
          <w:tblCellMar>
            <w:top w:w="0" w:type="dxa"/>
            <w:left w:w="108" w:type="dxa"/>
            <w:bottom w:w="0" w:type="dxa"/>
            <w:right w:w="108" w:type="dxa"/>
          </w:tblCellMar>
        </w:tblPrEx>
        <w:trPr>
          <w:trHeight w:val="40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第十七天（美国时间8月4日周日）</w:t>
            </w:r>
          </w:p>
        </w:tc>
        <w:tc>
          <w:tcPr>
            <w:tcW w:w="6946" w:type="dxa"/>
            <w:gridSpan w:val="2"/>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与美国家庭共度周末</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洛杉矶南加利福尼亚高沙漠地区</w:t>
            </w:r>
          </w:p>
        </w:tc>
      </w:tr>
      <w:tr>
        <w:tblPrEx>
          <w:tblCellMar>
            <w:top w:w="0" w:type="dxa"/>
            <w:left w:w="108" w:type="dxa"/>
            <w:bottom w:w="0" w:type="dxa"/>
            <w:right w:w="108" w:type="dxa"/>
          </w:tblCellMar>
        </w:tblPrEx>
        <w:trPr>
          <w:trHeight w:val="104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第十八天（美国时间8月5日周一）</w:t>
            </w:r>
          </w:p>
        </w:tc>
        <w:tc>
          <w:tcPr>
            <w:tcW w:w="6946" w:type="dxa"/>
            <w:gridSpan w:val="2"/>
            <w:tcBorders>
              <w:top w:val="single" w:color="auto" w:sz="4" w:space="0"/>
              <w:left w:val="nil"/>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加利福尼亚大学洛杉矶分校校园参访</w:t>
            </w:r>
          </w:p>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好莱坞</w:t>
            </w:r>
          </w:p>
          <w:p>
            <w:pPr>
              <w:jc w:val="center"/>
              <w:rPr>
                <w:rFonts w:hint="eastAsia" w:ascii="仿宋" w:hAnsi="仿宋" w:eastAsia="仿宋"/>
                <w:color w:val="000000"/>
                <w:sz w:val="21"/>
                <w:szCs w:val="21"/>
              </w:rPr>
            </w:pPr>
            <w:r>
              <w:rPr>
                <w:rFonts w:hint="eastAsia" w:ascii="仿宋" w:hAnsi="仿宋" w:eastAsia="仿宋"/>
                <w:color w:val="000000"/>
                <w:sz w:val="21"/>
                <w:szCs w:val="21"/>
              </w:rPr>
              <w:t>圣莫尼卡市</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98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第十九天（美国时间8月6日周二）</w:t>
            </w:r>
          </w:p>
        </w:tc>
        <w:tc>
          <w:tcPr>
            <w:tcW w:w="6946" w:type="dxa"/>
            <w:gridSpan w:val="2"/>
            <w:tcBorders>
              <w:top w:val="single" w:color="auto" w:sz="4" w:space="0"/>
              <w:left w:val="nil"/>
              <w:bottom w:val="single" w:color="auto" w:sz="4" w:space="0"/>
              <w:right w:val="single" w:color="auto" w:sz="4" w:space="0"/>
            </w:tcBorders>
            <w:shd w:val="clear" w:color="auto" w:fill="auto"/>
            <w:vAlign w:val="center"/>
          </w:tcPr>
          <w:p>
            <w:pPr>
              <w:jc w:val="center"/>
              <w:rPr>
                <w:rFonts w:ascii="仿宋" w:hAnsi="仿宋" w:eastAsia="仿宋"/>
                <w:color w:val="000000"/>
                <w:sz w:val="21"/>
                <w:szCs w:val="21"/>
              </w:rPr>
            </w:pPr>
            <w:r>
              <w:rPr>
                <w:rFonts w:hint="eastAsia" w:ascii="仿宋" w:hAnsi="仿宋" w:eastAsia="仿宋"/>
                <w:color w:val="000000"/>
                <w:sz w:val="21"/>
                <w:szCs w:val="21"/>
              </w:rPr>
              <w:t>亚马逊订单配送中心参观/问答</w:t>
            </w:r>
          </w:p>
          <w:p>
            <w:pPr>
              <w:jc w:val="center"/>
              <w:rPr>
                <w:rFonts w:ascii="仿宋" w:hAnsi="仿宋" w:eastAsia="仿宋"/>
                <w:color w:val="000000"/>
                <w:sz w:val="21"/>
                <w:szCs w:val="21"/>
              </w:rPr>
            </w:pPr>
            <w:r>
              <w:rPr>
                <w:rFonts w:ascii="仿宋" w:hAnsi="仿宋" w:eastAsia="仿宋"/>
                <w:color w:val="000000"/>
                <w:sz w:val="21"/>
                <w:szCs w:val="21"/>
              </w:rPr>
              <w:t>一次游览：</w:t>
            </w:r>
          </w:p>
          <w:p>
            <w:pPr>
              <w:jc w:val="center"/>
              <w:rPr>
                <w:rFonts w:hint="eastAsia" w:ascii="仿宋" w:hAnsi="仿宋" w:eastAsia="仿宋"/>
                <w:color w:val="000000"/>
                <w:sz w:val="21"/>
                <w:szCs w:val="21"/>
              </w:rPr>
            </w:pPr>
            <w:r>
              <w:rPr>
                <w:rFonts w:ascii="仿宋" w:hAnsi="仿宋" w:eastAsia="仿宋"/>
                <w:color w:val="000000"/>
                <w:sz w:val="21"/>
                <w:szCs w:val="21"/>
              </w:rPr>
              <w:t>两个场次</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98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第二十天（美国时间8月7日周三）</w:t>
            </w:r>
          </w:p>
        </w:tc>
        <w:tc>
          <w:tcPr>
            <w:tcW w:w="6946" w:type="dxa"/>
            <w:gridSpan w:val="2"/>
            <w:tcBorders>
              <w:top w:val="single" w:color="auto" w:sz="4" w:space="0"/>
              <w:left w:val="nil"/>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苹果谷警察局参访</w:t>
            </w:r>
          </w:p>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苹果谷市政厅参访-会见市长</w:t>
            </w:r>
          </w:p>
          <w:p>
            <w:pPr>
              <w:jc w:val="center"/>
              <w:rPr>
                <w:rFonts w:hint="eastAsia" w:ascii="仿宋" w:hAnsi="仿宋" w:eastAsia="仿宋"/>
                <w:color w:val="000000"/>
                <w:sz w:val="21"/>
                <w:szCs w:val="21"/>
              </w:rPr>
            </w:pPr>
            <w:r>
              <w:rPr>
                <w:rFonts w:hint="eastAsia" w:ascii="仿宋" w:hAnsi="仿宋" w:eastAsia="仿宋"/>
                <w:color w:val="000000"/>
                <w:sz w:val="21"/>
                <w:szCs w:val="21"/>
              </w:rPr>
              <w:t>卡巴松奥特莱斯（购物中心）</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34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第二十一天（美国时间8月8日周四）</w:t>
            </w:r>
          </w:p>
        </w:tc>
        <w:tc>
          <w:tcPr>
            <w:tcW w:w="6946" w:type="dxa"/>
            <w:gridSpan w:val="2"/>
            <w:tcBorders>
              <w:top w:val="single" w:color="auto" w:sz="4" w:space="0"/>
              <w:left w:val="nil"/>
              <w:bottom w:val="single" w:color="auto" w:sz="4" w:space="0"/>
              <w:right w:val="single" w:color="000000" w:sz="4" w:space="0"/>
            </w:tcBorders>
            <w:shd w:val="clear" w:color="auto" w:fill="auto"/>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参访加州大学欧文分校</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34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第二十二天（美国时间8月9日周五）</w:t>
            </w:r>
          </w:p>
        </w:tc>
        <w:tc>
          <w:tcPr>
            <w:tcW w:w="6946" w:type="dxa"/>
            <w:gridSpan w:val="2"/>
            <w:tcBorders>
              <w:top w:val="single" w:color="auto" w:sz="4" w:space="0"/>
              <w:left w:val="nil"/>
              <w:bottom w:val="single" w:color="auto" w:sz="4" w:space="0"/>
              <w:right w:val="single" w:color="000000" w:sz="4" w:space="0"/>
            </w:tcBorders>
            <w:shd w:val="clear" w:color="auto" w:fill="auto"/>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参访加州尔湾生物医药孵化器</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w:t>
            </w:r>
          </w:p>
        </w:tc>
      </w:tr>
      <w:tr>
        <w:tblPrEx>
          <w:tblCellMar>
            <w:top w:w="0" w:type="dxa"/>
            <w:left w:w="108" w:type="dxa"/>
            <w:bottom w:w="0" w:type="dxa"/>
            <w:right w:w="108" w:type="dxa"/>
          </w:tblCellMar>
        </w:tblPrEx>
        <w:trPr>
          <w:trHeight w:val="34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第二十三天（美国时间8月10日周六）</w:t>
            </w:r>
          </w:p>
        </w:tc>
        <w:tc>
          <w:tcPr>
            <w:tcW w:w="6946" w:type="dxa"/>
            <w:gridSpan w:val="2"/>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与美国家庭共度周末</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洛杉矶南加利福尼亚高沙漠地区</w:t>
            </w:r>
          </w:p>
        </w:tc>
      </w:tr>
      <w:tr>
        <w:tblPrEx>
          <w:tblCellMar>
            <w:top w:w="0" w:type="dxa"/>
            <w:left w:w="108" w:type="dxa"/>
            <w:bottom w:w="0" w:type="dxa"/>
            <w:right w:w="108" w:type="dxa"/>
          </w:tblCellMar>
        </w:tblPrEx>
        <w:trPr>
          <w:trHeight w:val="340" w:hRule="atLeast"/>
        </w:trPr>
        <w:tc>
          <w:tcPr>
            <w:tcW w:w="198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第二十四天（美国时间8月11日周日）</w:t>
            </w:r>
          </w:p>
        </w:tc>
        <w:tc>
          <w:tcPr>
            <w:tcW w:w="6946"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与美国家庭共度周末</w:t>
            </w:r>
          </w:p>
        </w:tc>
        <w:tc>
          <w:tcPr>
            <w:tcW w:w="153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洛杉矶南加利福尼亚高沙漠地区</w:t>
            </w:r>
          </w:p>
        </w:tc>
      </w:tr>
      <w:tr>
        <w:tblPrEx>
          <w:tblCellMar>
            <w:top w:w="0" w:type="dxa"/>
            <w:left w:w="108" w:type="dxa"/>
            <w:bottom w:w="0" w:type="dxa"/>
            <w:right w:w="108" w:type="dxa"/>
          </w:tblCellMar>
        </w:tblPrEx>
        <w:trPr>
          <w:trHeight w:val="360" w:hRule="atLeast"/>
        </w:trPr>
        <w:tc>
          <w:tcPr>
            <w:tcW w:w="198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第二十五天（美国时间8月12日周一）</w:t>
            </w:r>
          </w:p>
        </w:tc>
        <w:tc>
          <w:tcPr>
            <w:tcW w:w="6946"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离开高沙漠地区, 前往旧金山，入住酒店</w:t>
            </w:r>
          </w:p>
        </w:tc>
        <w:tc>
          <w:tcPr>
            <w:tcW w:w="153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旧金山</w:t>
            </w:r>
          </w:p>
        </w:tc>
      </w:tr>
      <w:tr>
        <w:tblPrEx>
          <w:tblCellMar>
            <w:top w:w="0" w:type="dxa"/>
            <w:left w:w="108" w:type="dxa"/>
            <w:bottom w:w="0" w:type="dxa"/>
            <w:right w:w="108" w:type="dxa"/>
          </w:tblCellMar>
        </w:tblPrEx>
        <w:trPr>
          <w:trHeight w:val="880" w:hRule="atLeast"/>
        </w:trPr>
        <w:tc>
          <w:tcPr>
            <w:tcW w:w="198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第二十六天（美国时间8月13日周二）</w:t>
            </w:r>
          </w:p>
        </w:tc>
        <w:tc>
          <w:tcPr>
            <w:tcW w:w="6946" w:type="dxa"/>
            <w:gridSpan w:val="2"/>
            <w:tcBorders>
              <w:top w:val="single" w:color="auto" w:sz="4" w:space="0"/>
              <w:left w:val="nil"/>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硅谷科技之旅</w:t>
            </w:r>
          </w:p>
          <w:p>
            <w:pPr>
              <w:jc w:val="center"/>
              <w:rPr>
                <w:rFonts w:hint="eastAsia" w:ascii="仿宋" w:hAnsi="仿宋" w:eastAsia="仿宋"/>
                <w:color w:val="000000"/>
                <w:sz w:val="21"/>
                <w:szCs w:val="21"/>
              </w:rPr>
            </w:pPr>
            <w:r>
              <w:rPr>
                <w:rFonts w:hint="eastAsia" w:ascii="仿宋" w:hAnsi="仿宋" w:eastAsia="仿宋"/>
                <w:color w:val="000000"/>
                <w:sz w:val="21"/>
                <w:szCs w:val="21"/>
              </w:rPr>
              <w:t>谷歌总部（Google Plex）参访</w:t>
            </w:r>
          </w:p>
        </w:tc>
        <w:tc>
          <w:tcPr>
            <w:tcW w:w="1530" w:type="dxa"/>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旧金山</w:t>
            </w:r>
          </w:p>
        </w:tc>
      </w:tr>
      <w:tr>
        <w:tblPrEx>
          <w:tblCellMar>
            <w:top w:w="0" w:type="dxa"/>
            <w:left w:w="108" w:type="dxa"/>
            <w:bottom w:w="0" w:type="dxa"/>
            <w:right w:w="108" w:type="dxa"/>
          </w:tblCellMar>
        </w:tblPrEx>
        <w:trPr>
          <w:trHeight w:val="132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第二十七天（美国时间8月14日周三）</w:t>
            </w:r>
          </w:p>
        </w:tc>
        <w:tc>
          <w:tcPr>
            <w:tcW w:w="6946" w:type="dxa"/>
            <w:gridSpan w:val="2"/>
            <w:tcBorders>
              <w:top w:val="single" w:color="auto" w:sz="4" w:space="0"/>
              <w:left w:val="nil"/>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硅谷之旅</w:t>
            </w:r>
          </w:p>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Plug &amp; Play/风险投资初创企业座谈问答</w:t>
            </w:r>
          </w:p>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小型研讨会</w:t>
            </w:r>
          </w:p>
          <w:p>
            <w:pPr>
              <w:jc w:val="center"/>
              <w:rPr>
                <w:rFonts w:hint="eastAsia" w:ascii="仿宋" w:hAnsi="仿宋" w:eastAsia="仿宋"/>
                <w:color w:val="000000"/>
                <w:sz w:val="21"/>
                <w:szCs w:val="21"/>
              </w:rPr>
            </w:pPr>
            <w:r>
              <w:rPr>
                <w:rFonts w:hint="eastAsia" w:ascii="仿宋" w:hAnsi="仿宋" w:eastAsia="仿宋"/>
                <w:color w:val="000000"/>
                <w:sz w:val="21"/>
                <w:szCs w:val="21"/>
              </w:rPr>
              <w:t>加州大学伯克利分校校园参访</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旧金山</w:t>
            </w:r>
          </w:p>
        </w:tc>
      </w:tr>
      <w:tr>
        <w:tblPrEx>
          <w:tblCellMar>
            <w:top w:w="0" w:type="dxa"/>
            <w:left w:w="108" w:type="dxa"/>
            <w:bottom w:w="0" w:type="dxa"/>
            <w:right w:w="108" w:type="dxa"/>
          </w:tblCellMar>
        </w:tblPrEx>
        <w:trPr>
          <w:trHeight w:val="142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第二十八天（美国时间8月15日周四）</w:t>
            </w:r>
          </w:p>
        </w:tc>
        <w:tc>
          <w:tcPr>
            <w:tcW w:w="6946" w:type="dxa"/>
            <w:gridSpan w:val="2"/>
            <w:tcBorders>
              <w:top w:val="single" w:color="auto" w:sz="4" w:space="0"/>
              <w:left w:val="nil"/>
              <w:bottom w:val="single" w:color="auto" w:sz="4" w:space="0"/>
              <w:right w:val="single" w:color="auto" w:sz="4" w:space="0"/>
            </w:tcBorders>
            <w:shd w:val="clear" w:color="auto" w:fill="auto"/>
            <w:vAlign w:val="center"/>
          </w:tcPr>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斯坦福大学校园参访</w:t>
            </w:r>
          </w:p>
          <w:p>
            <w:pPr>
              <w:jc w:val="center"/>
              <w:rPr>
                <w:rFonts w:hint="eastAsia" w:ascii="仿宋" w:hAnsi="仿宋" w:eastAsia="仿宋"/>
                <w:color w:val="000000"/>
                <w:sz w:val="21"/>
                <w:szCs w:val="21"/>
                <w:lang w:eastAsia="zh-CN"/>
              </w:rPr>
            </w:pPr>
            <w:r>
              <w:rPr>
                <w:rFonts w:hint="eastAsia" w:ascii="仿宋" w:hAnsi="仿宋" w:eastAsia="仿宋"/>
                <w:color w:val="000000"/>
                <w:sz w:val="21"/>
                <w:szCs w:val="21"/>
              </w:rPr>
              <w:t>硅谷创新中心小型研讨会-问答环节</w:t>
            </w:r>
          </w:p>
          <w:p>
            <w:pPr>
              <w:jc w:val="center"/>
              <w:rPr>
                <w:rFonts w:hint="eastAsia" w:ascii="仿宋" w:hAnsi="仿宋" w:eastAsia="仿宋"/>
                <w:color w:val="000000"/>
                <w:sz w:val="21"/>
                <w:szCs w:val="21"/>
              </w:rPr>
            </w:pPr>
            <w:r>
              <w:rPr>
                <w:rFonts w:hint="eastAsia" w:ascii="仿宋" w:hAnsi="仿宋" w:eastAsia="仿宋"/>
                <w:color w:val="000000"/>
                <w:sz w:val="21"/>
                <w:szCs w:val="21"/>
              </w:rPr>
              <w:t>专家：人工智能趋势与失败</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旧金山</w:t>
            </w:r>
          </w:p>
        </w:tc>
      </w:tr>
      <w:tr>
        <w:tblPrEx>
          <w:tblCellMar>
            <w:top w:w="0" w:type="dxa"/>
            <w:left w:w="108" w:type="dxa"/>
            <w:bottom w:w="0" w:type="dxa"/>
            <w:right w:w="108" w:type="dxa"/>
          </w:tblCellMar>
        </w:tblPrEx>
        <w:trPr>
          <w:trHeight w:val="34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第二十九天（美国时间8月16日周五，中国时间8月17日周六）</w:t>
            </w:r>
          </w:p>
        </w:tc>
        <w:tc>
          <w:tcPr>
            <w:tcW w:w="6946" w:type="dxa"/>
            <w:gridSpan w:val="2"/>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学生离开</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旧金山</w:t>
            </w:r>
          </w:p>
        </w:tc>
      </w:tr>
      <w:tr>
        <w:tblPrEx>
          <w:tblCellMar>
            <w:top w:w="0" w:type="dxa"/>
            <w:left w:w="108" w:type="dxa"/>
            <w:bottom w:w="0" w:type="dxa"/>
            <w:right w:w="108" w:type="dxa"/>
          </w:tblCellMar>
        </w:tblPrEx>
        <w:trPr>
          <w:trHeight w:val="340" w:hRule="atLeast"/>
        </w:trPr>
        <w:tc>
          <w:tcPr>
            <w:tcW w:w="1980" w:type="dxa"/>
            <w:tcBorders>
              <w:top w:val="nil"/>
              <w:left w:val="single" w:color="auto" w:sz="4" w:space="0"/>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第三十天（中国时间8月18日周日）</w:t>
            </w:r>
          </w:p>
        </w:tc>
        <w:tc>
          <w:tcPr>
            <w:tcW w:w="6946" w:type="dxa"/>
            <w:gridSpan w:val="2"/>
            <w:tcBorders>
              <w:top w:val="single" w:color="auto" w:sz="4" w:space="0"/>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抵达中国</w:t>
            </w:r>
          </w:p>
        </w:tc>
        <w:tc>
          <w:tcPr>
            <w:tcW w:w="1530" w:type="dxa"/>
            <w:tcBorders>
              <w:top w:val="nil"/>
              <w:left w:val="nil"/>
              <w:bottom w:val="single" w:color="auto" w:sz="4" w:space="0"/>
              <w:right w:val="single" w:color="auto" w:sz="4" w:space="0"/>
            </w:tcBorders>
            <w:shd w:val="clear" w:color="auto" w:fill="auto"/>
            <w:noWrap/>
            <w:vAlign w:val="center"/>
          </w:tcPr>
          <w:p>
            <w:pPr>
              <w:jc w:val="center"/>
              <w:rPr>
                <w:rFonts w:hint="eastAsia" w:ascii="仿宋" w:hAnsi="仿宋" w:eastAsia="仿宋"/>
                <w:color w:val="000000"/>
                <w:sz w:val="21"/>
                <w:szCs w:val="21"/>
              </w:rPr>
            </w:pPr>
            <w:r>
              <w:rPr>
                <w:rFonts w:hint="eastAsia" w:ascii="仿宋" w:hAnsi="仿宋" w:eastAsia="仿宋"/>
                <w:color w:val="000000"/>
                <w:sz w:val="21"/>
                <w:szCs w:val="21"/>
              </w:rPr>
              <w:t>中国</w:t>
            </w:r>
          </w:p>
        </w:tc>
      </w:tr>
    </w:tbl>
    <w:p>
      <w:pPr>
        <w:spacing w:after="150" w:line="360" w:lineRule="auto"/>
        <w:rPr>
          <w:rFonts w:ascii="仿宋" w:hAnsi="仿宋" w:eastAsia="仿宋" w:cs="仿宋"/>
          <w:b/>
          <w:bCs/>
        </w:rPr>
      </w:pPr>
    </w:p>
    <w:p>
      <w:pPr>
        <w:spacing w:after="150" w:line="360" w:lineRule="auto"/>
        <w:rPr>
          <w:rFonts w:ascii="仿宋" w:hAnsi="仿宋" w:eastAsia="仿宋" w:cs="仿宋"/>
          <w:b/>
          <w:bCs/>
        </w:rPr>
      </w:pPr>
      <w:r>
        <w:rPr>
          <w:rFonts w:hint="eastAsia"/>
        </w:rPr>
        <w:drawing>
          <wp:inline distT="0" distB="0" distL="0" distR="0">
            <wp:extent cx="6640830" cy="3628390"/>
            <wp:effectExtent l="0" t="0" r="52070" b="0"/>
            <wp:docPr id="2008983151" name="图示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pPr>
        <w:spacing w:line="360" w:lineRule="auto"/>
        <w:rPr>
          <w:rFonts w:ascii="仿宋" w:hAnsi="仿宋" w:eastAsia="仿宋" w:cs="MicrosoftYaHei"/>
          <w:color w:val="000000" w:themeColor="text1"/>
          <w:lang w:bidi="ar"/>
          <w14:textFill>
            <w14:solidFill>
              <w14:schemeClr w14:val="tx1"/>
            </w14:solidFill>
          </w14:textFill>
        </w:rPr>
      </w:pPr>
      <w:r>
        <w:rPr>
          <w:rFonts w:ascii="仿宋" w:hAnsi="仿宋" w:eastAsia="仿宋" w:cs="MicrosoftYaHei"/>
          <w:color w:val="000000" w:themeColor="text1"/>
          <w:lang w:bidi="ar"/>
          <w14:textFill>
            <w14:solidFill>
              <w14:schemeClr w14:val="tx1"/>
            </w14:solidFill>
          </w14:textFill>
        </w:rPr>
        <w:t>Z</w:t>
      </w:r>
      <w:r>
        <w:rPr>
          <w:rFonts w:hint="eastAsia" w:ascii="仿宋" w:hAnsi="仿宋" w:eastAsia="仿宋" w:cs="MicrosoftYaHei"/>
          <w:color w:val="000000" w:themeColor="text1"/>
          <w:lang w:bidi="ar"/>
          <w14:textFill>
            <w14:solidFill>
              <w14:schemeClr w14:val="tx1"/>
            </w14:solidFill>
          </w14:textFill>
        </w:rPr>
        <w:t>oe老师：18896535334 ；张老师：1</w:t>
      </w:r>
      <w:r>
        <w:rPr>
          <w:rFonts w:ascii="仿宋" w:hAnsi="仿宋" w:eastAsia="仿宋" w:cs="MicrosoftYaHei"/>
          <w:color w:val="000000" w:themeColor="text1"/>
          <w:lang w:bidi="ar"/>
          <w14:textFill>
            <w14:solidFill>
              <w14:schemeClr w14:val="tx1"/>
            </w14:solidFill>
          </w14:textFill>
        </w:rPr>
        <w:t>5147869737</w:t>
      </w:r>
    </w:p>
    <w:p>
      <w:pPr>
        <w:spacing w:after="150" w:line="360" w:lineRule="auto"/>
        <w:rPr>
          <w:rFonts w:hint="eastAsia" w:ascii="仿宋" w:hAnsi="仿宋" w:eastAsia="仿宋" w:cs="仿宋"/>
          <w:b/>
          <w:bCs/>
        </w:rPr>
      </w:pPr>
    </w:p>
    <w:sectPr>
      <w:pgSz w:w="11906" w:h="16838"/>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1" w:fontKey="{DBD71FB2-921C-4E68-B280-1A70FC60276E}"/>
  </w:font>
  <w:font w:name="Times">
    <w:altName w:val="CG Times"/>
    <w:panose1 w:val="00000500000000020000"/>
    <w:charset w:val="00"/>
    <w:family w:val="auto"/>
    <w:pitch w:val="default"/>
    <w:sig w:usb0="00000000" w:usb1="00000000" w:usb2="00000000" w:usb3="00000000" w:csb0="0000019F" w:csb1="00000000"/>
  </w:font>
  <w:font w:name="文鼎书宋">
    <w:altName w:val="微软雅黑"/>
    <w:panose1 w:val="020B0604020202020204"/>
    <w:charset w:val="86"/>
    <w:family w:val="auto"/>
    <w:pitch w:val="default"/>
    <w:sig w:usb0="00000000" w:usb1="00000000" w:usb2="00000000" w:usb3="00000000" w:csb0="00000000" w:csb1="00000000"/>
    <w:embedRegular r:id="rId2" w:fontKey="{FB46F528-F207-4655-9A82-E3B4315E41AA}"/>
  </w:font>
  <w:font w:name="微软雅黑">
    <w:panose1 w:val="020B0503020204020204"/>
    <w:charset w:val="86"/>
    <w:family w:val="swiss"/>
    <w:pitch w:val="default"/>
    <w:sig w:usb0="80000287" w:usb1="2ACF3C50" w:usb2="00000016" w:usb3="00000000" w:csb0="0004001F" w:csb1="00000000"/>
    <w:embedRegular r:id="rId3" w:fontKey="{F8CA09CA-3DD7-4F79-8D01-B01C841B2AFF}"/>
  </w:font>
  <w:font w:name="Arial">
    <w:panose1 w:val="020B0604020202020204"/>
    <w:charset w:val="00"/>
    <w:family w:val="swiss"/>
    <w:pitch w:val="default"/>
    <w:sig w:usb0="E0002EFF" w:usb1="C000785B" w:usb2="00000009" w:usb3="00000000" w:csb0="400001FF" w:csb1="FFFF0000"/>
    <w:embedRegular r:id="rId4" w:fontKey="{1FB74546-57E1-485A-9B80-B0976773508C}"/>
  </w:font>
  <w:font w:name="仿宋">
    <w:panose1 w:val="02010609060101010101"/>
    <w:charset w:val="86"/>
    <w:family w:val="modern"/>
    <w:pitch w:val="default"/>
    <w:sig w:usb0="800002BF" w:usb1="38CF7CFA" w:usb2="00000016" w:usb3="00000000" w:csb0="00040001" w:csb1="00000000"/>
    <w:embedRegular r:id="rId5" w:fontKey="{E4B8A869-F633-4AC0-9CE6-0D384E378040}"/>
  </w:font>
  <w:font w:name="Wingdings">
    <w:panose1 w:val="05000000000000000000"/>
    <w:charset w:val="00"/>
    <w:family w:val="decorative"/>
    <w:pitch w:val="default"/>
    <w:sig w:usb0="00000000" w:usb1="00000000" w:usb2="00000000" w:usb3="00000000" w:csb0="80000000" w:csb1="00000000"/>
  </w:font>
  <w:font w:name="MicrosoftYaHei">
    <w:altName w:val="Calibri"/>
    <w:panose1 w:val="020B0604020202020204"/>
    <w:charset w:val="00"/>
    <w:family w:val="auto"/>
    <w:pitch w:val="default"/>
    <w:sig w:usb0="00000000" w:usb1="00000000" w:usb2="00000000" w:usb3="00000000" w:csb0="00000000" w:csb1="00000000"/>
    <w:embedRegular r:id="rId6" w:fontKey="{E3DB7416-AB6C-4878-A03E-28EF909AA93F}"/>
  </w:font>
  <w:font w:name="CG Times">
    <w:panose1 w:val="02020603050405020304"/>
    <w:charset w:val="00"/>
    <w:family w:val="auto"/>
    <w:pitch w:val="default"/>
    <w:sig w:usb0="00000007" w:usb1="00000000" w:usb2="00000000" w:usb3="00000000" w:csb0="00000093"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45818DF"/>
    <w:multiLevelType w:val="multilevel"/>
    <w:tmpl w:val="145818DF"/>
    <w:lvl w:ilvl="0" w:tentative="0">
      <w:start w:val="1"/>
      <w:numFmt w:val="decimal"/>
      <w:lvlText w:val="%1."/>
      <w:lvlJc w:val="left"/>
      <w:pPr>
        <w:ind w:left="440" w:hanging="440"/>
      </w:p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17E14B5C"/>
    <w:multiLevelType w:val="singleLevel"/>
    <w:tmpl w:val="17E14B5C"/>
    <w:lvl w:ilvl="0" w:tentative="0">
      <w:start w:val="1"/>
      <w:numFmt w:val="decimal"/>
      <w:lvlText w:val="%1."/>
      <w:lvlJc w:val="left"/>
      <w:pPr>
        <w:tabs>
          <w:tab w:val="left" w:pos="312"/>
        </w:tabs>
      </w:pPr>
    </w:lvl>
  </w:abstractNum>
  <w:abstractNum w:abstractNumId="2">
    <w:nsid w:val="56D685F1"/>
    <w:multiLevelType w:val="singleLevel"/>
    <w:tmpl w:val="56D685F1"/>
    <w:lvl w:ilvl="0" w:tentative="0">
      <w:start w:val="1"/>
      <w:numFmt w:val="decimal"/>
      <w:lvlText w:val="%1."/>
      <w:lvlJc w:val="left"/>
      <w:pPr>
        <w:tabs>
          <w:tab w:val="left" w:pos="425"/>
        </w:tabs>
        <w:ind w:left="425" w:hanging="425"/>
      </w:pPr>
      <w:rPr>
        <w:rFonts w:hint="default"/>
      </w:rPr>
    </w:lvl>
  </w:abstractNum>
  <w:abstractNum w:abstractNumId="3">
    <w:nsid w:val="57D52DF7"/>
    <w:multiLevelType w:val="singleLevel"/>
    <w:tmpl w:val="57D52DF7"/>
    <w:lvl w:ilvl="0" w:tentative="0">
      <w:start w:val="1"/>
      <w:numFmt w:val="bullet"/>
      <w:lvlText w:val=""/>
      <w:lvlJc w:val="left"/>
      <w:pPr>
        <w:ind w:left="420" w:hanging="420"/>
      </w:pPr>
      <w:rPr>
        <w:rFonts w:hint="default" w:ascii="Wingdings" w:hAnsi="Wingdings"/>
      </w:rPr>
    </w:lvl>
  </w:abstractNum>
  <w:abstractNum w:abstractNumId="4">
    <w:nsid w:val="74766D5A"/>
    <w:multiLevelType w:val="singleLevel"/>
    <w:tmpl w:val="74766D5A"/>
    <w:lvl w:ilvl="0" w:tentative="0">
      <w:start w:val="1"/>
      <w:numFmt w:val="bullet"/>
      <w:lvlText w:val=""/>
      <w:lvlJc w:val="left"/>
      <w:pPr>
        <w:ind w:left="420" w:hanging="420"/>
      </w:pPr>
      <w:rPr>
        <w:rFonts w:hint="default" w:ascii="Wingdings" w:hAnsi="Wingdings"/>
      </w:rPr>
    </w:lvl>
  </w:abstractNum>
  <w:num w:numId="1">
    <w:abstractNumId w:val="1"/>
  </w:num>
  <w:num w:numId="2">
    <w:abstractNumId w:val="2"/>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GI3OWNiYWNkMWVkMDFhN2I3ODhjMzc5NTVlZDcyNjEifQ=="/>
  </w:docVars>
  <w:rsids>
    <w:rsidRoot w:val="3B30188B"/>
    <w:rsid w:val="00014E3F"/>
    <w:rsid w:val="000571E9"/>
    <w:rsid w:val="00077707"/>
    <w:rsid w:val="00086DB3"/>
    <w:rsid w:val="000A68A8"/>
    <w:rsid w:val="000B098D"/>
    <w:rsid w:val="000E0CA3"/>
    <w:rsid w:val="000E57A6"/>
    <w:rsid w:val="00110A1B"/>
    <w:rsid w:val="001162DC"/>
    <w:rsid w:val="00170C45"/>
    <w:rsid w:val="001756AA"/>
    <w:rsid w:val="0019258B"/>
    <w:rsid w:val="001E7268"/>
    <w:rsid w:val="001F0686"/>
    <w:rsid w:val="00216F33"/>
    <w:rsid w:val="00234C6D"/>
    <w:rsid w:val="00242F70"/>
    <w:rsid w:val="0024322D"/>
    <w:rsid w:val="00255284"/>
    <w:rsid w:val="00273ADE"/>
    <w:rsid w:val="00284EF4"/>
    <w:rsid w:val="0029090A"/>
    <w:rsid w:val="0029609A"/>
    <w:rsid w:val="00302F45"/>
    <w:rsid w:val="003122AC"/>
    <w:rsid w:val="00353C9C"/>
    <w:rsid w:val="0036186B"/>
    <w:rsid w:val="0037661E"/>
    <w:rsid w:val="003766ED"/>
    <w:rsid w:val="003B05BD"/>
    <w:rsid w:val="003C3B0F"/>
    <w:rsid w:val="00400BD5"/>
    <w:rsid w:val="00415B5F"/>
    <w:rsid w:val="004611DA"/>
    <w:rsid w:val="00470FD1"/>
    <w:rsid w:val="004B258A"/>
    <w:rsid w:val="004B3127"/>
    <w:rsid w:val="004F6148"/>
    <w:rsid w:val="00505F5D"/>
    <w:rsid w:val="00513BF8"/>
    <w:rsid w:val="00524689"/>
    <w:rsid w:val="0056429B"/>
    <w:rsid w:val="005802A5"/>
    <w:rsid w:val="005A0939"/>
    <w:rsid w:val="005B6988"/>
    <w:rsid w:val="005C134F"/>
    <w:rsid w:val="005F479E"/>
    <w:rsid w:val="00640280"/>
    <w:rsid w:val="00656D06"/>
    <w:rsid w:val="00660225"/>
    <w:rsid w:val="0068107C"/>
    <w:rsid w:val="006A6E41"/>
    <w:rsid w:val="006D70C6"/>
    <w:rsid w:val="006E51F9"/>
    <w:rsid w:val="007129FA"/>
    <w:rsid w:val="00767D73"/>
    <w:rsid w:val="00767DCC"/>
    <w:rsid w:val="00790F49"/>
    <w:rsid w:val="007A2209"/>
    <w:rsid w:val="00826D53"/>
    <w:rsid w:val="0084114E"/>
    <w:rsid w:val="008523B0"/>
    <w:rsid w:val="00864CF7"/>
    <w:rsid w:val="00896C0F"/>
    <w:rsid w:val="008A345A"/>
    <w:rsid w:val="008C18E1"/>
    <w:rsid w:val="008C6EDF"/>
    <w:rsid w:val="008D7982"/>
    <w:rsid w:val="008E77CA"/>
    <w:rsid w:val="009024CE"/>
    <w:rsid w:val="00906423"/>
    <w:rsid w:val="00957E7E"/>
    <w:rsid w:val="009749EF"/>
    <w:rsid w:val="00980995"/>
    <w:rsid w:val="009A2476"/>
    <w:rsid w:val="009F7D29"/>
    <w:rsid w:val="00A004BC"/>
    <w:rsid w:val="00A46DD0"/>
    <w:rsid w:val="00A745D7"/>
    <w:rsid w:val="00AA6137"/>
    <w:rsid w:val="00AB5991"/>
    <w:rsid w:val="00AC1436"/>
    <w:rsid w:val="00AC283C"/>
    <w:rsid w:val="00AC57F1"/>
    <w:rsid w:val="00AD56A4"/>
    <w:rsid w:val="00AF1044"/>
    <w:rsid w:val="00B9295B"/>
    <w:rsid w:val="00B94E3A"/>
    <w:rsid w:val="00BA1DBA"/>
    <w:rsid w:val="00BC60F8"/>
    <w:rsid w:val="00BF07F1"/>
    <w:rsid w:val="00C04178"/>
    <w:rsid w:val="00C23DAB"/>
    <w:rsid w:val="00C47F4C"/>
    <w:rsid w:val="00C773F5"/>
    <w:rsid w:val="00CE3516"/>
    <w:rsid w:val="00D26062"/>
    <w:rsid w:val="00D351D9"/>
    <w:rsid w:val="00D35F66"/>
    <w:rsid w:val="00D9336C"/>
    <w:rsid w:val="00DA5FBD"/>
    <w:rsid w:val="00DA624F"/>
    <w:rsid w:val="00DD2E0B"/>
    <w:rsid w:val="00DD5C48"/>
    <w:rsid w:val="00DD5F22"/>
    <w:rsid w:val="00DF04AA"/>
    <w:rsid w:val="00DF4097"/>
    <w:rsid w:val="00E1187F"/>
    <w:rsid w:val="00E128B6"/>
    <w:rsid w:val="00E37CFC"/>
    <w:rsid w:val="00E63065"/>
    <w:rsid w:val="00E83664"/>
    <w:rsid w:val="00E856BF"/>
    <w:rsid w:val="00E97954"/>
    <w:rsid w:val="00EC5CE4"/>
    <w:rsid w:val="00ED3DEA"/>
    <w:rsid w:val="00ED509F"/>
    <w:rsid w:val="00EE031E"/>
    <w:rsid w:val="00F16952"/>
    <w:rsid w:val="00F23037"/>
    <w:rsid w:val="00F55796"/>
    <w:rsid w:val="00FC28F8"/>
    <w:rsid w:val="00FF416F"/>
    <w:rsid w:val="0255012B"/>
    <w:rsid w:val="0C5362EC"/>
    <w:rsid w:val="133E7333"/>
    <w:rsid w:val="14BB3B91"/>
    <w:rsid w:val="1D036C4B"/>
    <w:rsid w:val="23E41CD7"/>
    <w:rsid w:val="25490248"/>
    <w:rsid w:val="2EDA7EA6"/>
    <w:rsid w:val="32CE496F"/>
    <w:rsid w:val="378A4256"/>
    <w:rsid w:val="3B30188B"/>
    <w:rsid w:val="3E814195"/>
    <w:rsid w:val="462B4FE6"/>
    <w:rsid w:val="4A1638E1"/>
    <w:rsid w:val="4D266F02"/>
    <w:rsid w:val="4D9D16E6"/>
    <w:rsid w:val="51D95924"/>
    <w:rsid w:val="52824ED5"/>
    <w:rsid w:val="5A595FF5"/>
    <w:rsid w:val="5BF65282"/>
    <w:rsid w:val="62A551FE"/>
    <w:rsid w:val="639F2698"/>
    <w:rsid w:val="64CB0FB0"/>
    <w:rsid w:val="65CA2800"/>
    <w:rsid w:val="6CAA18DE"/>
    <w:rsid w:val="6D6713BC"/>
    <w:rsid w:val="6DEE496C"/>
    <w:rsid w:val="7CD31AA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paragraph" w:styleId="2">
    <w:name w:val="heading 1"/>
    <w:basedOn w:val="1"/>
    <w:link w:val="13"/>
    <w:qFormat/>
    <w:uiPriority w:val="9"/>
    <w:pPr>
      <w:spacing w:before="100" w:beforeAutospacing="1" w:after="100" w:afterAutospacing="1"/>
      <w:outlineLvl w:val="0"/>
    </w:pPr>
    <w:rPr>
      <w:b/>
      <w:bCs/>
      <w:kern w:val="36"/>
      <w:sz w:val="48"/>
      <w:szCs w:val="48"/>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pPr>
    <w:rPr>
      <w:sz w:val="18"/>
    </w:rPr>
  </w:style>
  <w:style w:type="paragraph" w:styleId="4">
    <w:name w:val="header"/>
    <w:basedOn w:val="1"/>
    <w:link w:val="12"/>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5">
    <w:name w:val="Normal (Web)"/>
    <w:basedOn w:val="1"/>
    <w:qFormat/>
    <w:uiPriority w:val="0"/>
    <w:pPr>
      <w:spacing w:before="100" w:beforeAutospacing="1" w:after="100" w:afterAutospacing="1"/>
    </w:pPr>
    <w:rPr>
      <w:rFonts w:ascii="Times" w:hAnsi="Times" w:cs="Times New Roman"/>
      <w:sz w:val="20"/>
      <w:szCs w:val="20"/>
    </w:rPr>
  </w:style>
  <w:style w:type="character" w:styleId="8">
    <w:name w:val="Strong"/>
    <w:basedOn w:val="7"/>
    <w:qFormat/>
    <w:uiPriority w:val="0"/>
    <w:rPr>
      <w:b/>
    </w:rPr>
  </w:style>
  <w:style w:type="character" w:styleId="9">
    <w:name w:val="Hyperlink"/>
    <w:basedOn w:val="7"/>
    <w:unhideWhenUsed/>
    <w:qFormat/>
    <w:uiPriority w:val="99"/>
    <w:rPr>
      <w:color w:val="0000FF"/>
      <w:u w:val="single"/>
    </w:rPr>
  </w:style>
  <w:style w:type="character" w:customStyle="1" w:styleId="10">
    <w:name w:val="pp-place-title"/>
    <w:basedOn w:val="7"/>
    <w:qFormat/>
    <w:uiPriority w:val="0"/>
  </w:style>
  <w:style w:type="paragraph" w:styleId="11">
    <w:name w:val="List Paragraph"/>
    <w:basedOn w:val="1"/>
    <w:qFormat/>
    <w:uiPriority w:val="99"/>
    <w:pPr>
      <w:ind w:firstLine="420" w:firstLineChars="200"/>
    </w:pPr>
  </w:style>
  <w:style w:type="character" w:customStyle="1" w:styleId="12">
    <w:name w:val="页眉 字符"/>
    <w:basedOn w:val="7"/>
    <w:link w:val="4"/>
    <w:qFormat/>
    <w:uiPriority w:val="0"/>
    <w:rPr>
      <w:kern w:val="2"/>
      <w:sz w:val="18"/>
      <w:szCs w:val="24"/>
    </w:rPr>
  </w:style>
  <w:style w:type="character" w:customStyle="1" w:styleId="13">
    <w:name w:val="标题 1 字符"/>
    <w:basedOn w:val="7"/>
    <w:link w:val="2"/>
    <w:qFormat/>
    <w:uiPriority w:val="9"/>
    <w:rPr>
      <w:rFonts w:ascii="宋体" w:hAnsi="宋体" w:eastAsia="宋体" w:cs="宋体"/>
      <w:b/>
      <w:bCs/>
      <w:kern w:val="36"/>
      <w:sz w:val="48"/>
      <w:szCs w:val="4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0" Type="http://schemas.openxmlformats.org/officeDocument/2006/relationships/fontTable" Target="fontTable.xml"/><Relationship Id="rId3" Type="http://schemas.openxmlformats.org/officeDocument/2006/relationships/theme" Target="theme/theme1.xml"/><Relationship Id="rId29" Type="http://schemas.openxmlformats.org/officeDocument/2006/relationships/numbering" Target="numbering.xml"/><Relationship Id="rId28" Type="http://schemas.microsoft.com/office/2007/relationships/diagramDrawing" Target="diagrams/drawing1.xml"/><Relationship Id="rId27" Type="http://schemas.openxmlformats.org/officeDocument/2006/relationships/diagramColors" Target="diagrams/colors1.xml"/><Relationship Id="rId26" Type="http://schemas.openxmlformats.org/officeDocument/2006/relationships/diagramQuickStyle" Target="diagrams/quickStyle1.xml"/><Relationship Id="rId25" Type="http://schemas.openxmlformats.org/officeDocument/2006/relationships/diagramLayout" Target="diagrams/layout1.xml"/><Relationship Id="rId24" Type="http://schemas.openxmlformats.org/officeDocument/2006/relationships/diagramData" Target="diagrams/data1.xml"/><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colorsDef>
</file>

<file path=word/diagrams/data1.xml><?xml version="1.0" encoding="utf-8"?>
<dgm:dataModel xmlns:dgm="http://schemas.openxmlformats.org/drawingml/2006/diagram" xmlns:a="http://schemas.openxmlformats.org/drawingml/2006/main">
  <dgm:ptLst>
    <dgm:pt modelId="{58DCCEF1-505C-D642-9D59-211E272655D1}" type="doc">
      <dgm:prSet loTypeId="urn:microsoft.com/office/officeart/2005/8/layout/hProcess4" loCatId="" qsTypeId="urn:microsoft.com/office/officeart/2005/8/quickstyle/simple1" qsCatId="simple" csTypeId="urn:microsoft.com/office/officeart/2005/8/colors/accent1_2" csCatId="accent1" phldr="1"/>
      <dgm:spPr/>
      <dgm:t>
        <a:bodyPr/>
        <a:p>
          <a:endParaRPr lang="zh-CN" altLang="en-US"/>
        </a:p>
      </dgm:t>
    </dgm:pt>
    <dgm:pt modelId="{CF8D062E-0929-4B40-88A9-86D42DF01575}">
      <dgm:prSet phldrT="[文本]"/>
      <dgm:spPr/>
      <dgm:t>
        <a:bodyPr/>
        <a:p>
          <a:r>
            <a:rPr lang="zh-CN" altLang="en-US"/>
            <a:t>报名条件</a:t>
          </a:r>
        </a:p>
      </dgm:t>
    </dgm:pt>
    <dgm:pt modelId="{C30D3BBA-5E5B-4441-B906-A5AF3BE18413}" cxnId="{DF5618C8-0A47-294E-9417-652132B48F92}" type="parTrans">
      <dgm:prSet/>
      <dgm:spPr/>
      <dgm:t>
        <a:bodyPr/>
        <a:p>
          <a:endParaRPr lang="zh-CN" altLang="en-US"/>
        </a:p>
      </dgm:t>
    </dgm:pt>
    <dgm:pt modelId="{B934E445-A384-CE4E-823C-92FDDA0CF710}" cxnId="{DF5618C8-0A47-294E-9417-652132B48F92}" type="sibTrans">
      <dgm:prSet/>
      <dgm:spPr/>
      <dgm:t>
        <a:bodyPr/>
        <a:p>
          <a:endParaRPr lang="zh-CN" altLang="en-US"/>
        </a:p>
      </dgm:t>
    </dgm:pt>
    <dgm:pt modelId="{88105DAC-6951-8C47-9BED-7D6D7578C0DF}">
      <dgm:prSet/>
      <dgm:spPr/>
      <dgm:t>
        <a:bodyPr/>
        <a:p>
          <a:r>
            <a:rPr lang="zh-CN" altLang="en-US"/>
            <a:t>报名流程</a:t>
          </a:r>
        </a:p>
      </dgm:t>
    </dgm:pt>
    <dgm:pt modelId="{87BA08F3-DD73-0048-B0E0-E1DB7143A7A0}" cxnId="{1E689788-6BDA-594A-AD87-A91257A76FC8}" type="parTrans">
      <dgm:prSet/>
      <dgm:spPr/>
      <dgm:t>
        <a:bodyPr/>
        <a:p>
          <a:endParaRPr lang="zh-CN" altLang="en-US"/>
        </a:p>
      </dgm:t>
    </dgm:pt>
    <dgm:pt modelId="{84A2AA32-C33A-4F46-B8C8-DBB2678D5B3E}" cxnId="{1E689788-6BDA-594A-AD87-A91257A76FC8}" type="sibTrans">
      <dgm:prSet/>
      <dgm:spPr/>
      <dgm:t>
        <a:bodyPr/>
        <a:p>
          <a:endParaRPr lang="zh-CN" altLang="en-US"/>
        </a:p>
      </dgm:t>
    </dgm:pt>
    <dgm:pt modelId="{B989051D-91C9-E546-B1F6-9A8A234ACD9C}">
      <dgm:prSet/>
      <dgm:spPr/>
      <dgm:t>
        <a:bodyPr/>
        <a:p>
          <a:r>
            <a:rPr lang="zh-CN" altLang="en-US"/>
            <a:t>截止日期</a:t>
          </a:r>
        </a:p>
      </dgm:t>
    </dgm:pt>
    <dgm:pt modelId="{FE109401-9C68-5045-A9DC-59D33D2D7925}" cxnId="{D0A5B151-1996-4A4C-B571-426F2E2356C9}" type="parTrans">
      <dgm:prSet/>
      <dgm:spPr/>
      <dgm:t>
        <a:bodyPr/>
        <a:p>
          <a:endParaRPr lang="zh-CN" altLang="en-US"/>
        </a:p>
      </dgm:t>
    </dgm:pt>
    <dgm:pt modelId="{A73DA8C0-F282-8748-B13E-6B633A5906A4}" cxnId="{D0A5B151-1996-4A4C-B571-426F2E2356C9}" type="sibTrans">
      <dgm:prSet/>
      <dgm:spPr/>
      <dgm:t>
        <a:bodyPr/>
        <a:p>
          <a:endParaRPr lang="zh-CN" altLang="en-US"/>
        </a:p>
      </dgm:t>
    </dgm:pt>
    <dgm:pt modelId="{C6801810-06BC-FA4B-9AFF-543AAA2EFE5C}">
      <dgm:prSet phldrT="[文本]" custT="1"/>
      <dgm:spPr/>
      <dgm:t>
        <a:bodyPr/>
        <a:p>
          <a:r>
            <a:rPr lang="zh-CN" altLang="en-US" sz="1000" b="1">
              <a:latin typeface="仿宋" panose="02010609060101010101" pitchFamily="3" charset="-122"/>
              <a:ea typeface="仿宋" panose="02010609060101010101" pitchFamily="3" charset="-122"/>
            </a:rPr>
            <a:t>愿意接受挑战且对美国知名企业文化和运作感兴趣</a:t>
          </a:r>
        </a:p>
      </dgm:t>
    </dgm:pt>
    <dgm:pt modelId="{793D798E-071C-174E-97B3-05DD2FECDBD0}" cxnId="{054D5628-A227-E14D-9292-FC2686273623}" type="sibTrans">
      <dgm:prSet/>
      <dgm:spPr/>
      <dgm:t>
        <a:bodyPr/>
        <a:p>
          <a:endParaRPr lang="zh-CN" altLang="en-US"/>
        </a:p>
      </dgm:t>
    </dgm:pt>
    <dgm:pt modelId="{1026D7A6-5618-D847-A98C-91E99B847359}" cxnId="{054D5628-A227-E14D-9292-FC2686273623}" type="parTrans">
      <dgm:prSet/>
      <dgm:spPr/>
      <dgm:t>
        <a:bodyPr/>
        <a:p>
          <a:endParaRPr lang="zh-CN" altLang="en-US"/>
        </a:p>
      </dgm:t>
    </dgm:pt>
    <dgm:pt modelId="{9C742FA3-451F-D046-943D-9DFDD5751AEB}">
      <dgm:prSet phldrT="[文本]" custT="1"/>
      <dgm:spPr/>
      <dgm:t>
        <a:bodyPr/>
        <a:p>
          <a:r>
            <a:rPr lang="en-US" sz="1000" b="1">
              <a:latin typeface="仿宋" panose="02010609060101010101" pitchFamily="3" charset="-122"/>
              <a:ea typeface="仿宋" panose="02010609060101010101" pitchFamily="3" charset="-122"/>
            </a:rPr>
            <a:t>年满18</a:t>
          </a:r>
          <a:r>
            <a:rPr lang="zh-CN" sz="1000" b="1">
              <a:latin typeface="仿宋" panose="02010609060101010101" pitchFamily="3" charset="-122"/>
              <a:ea typeface="仿宋" panose="02010609060101010101" pitchFamily="3" charset="-122"/>
            </a:rPr>
            <a:t>周岁的本科生；</a:t>
          </a:r>
          <a:endParaRPr lang="zh-CN" altLang="en-US" sz="1000" b="1">
            <a:latin typeface="仿宋" panose="02010609060101010101" pitchFamily="3" charset="-122"/>
            <a:ea typeface="仿宋" panose="02010609060101010101" pitchFamily="3" charset="-122"/>
          </a:endParaRPr>
        </a:p>
      </dgm:t>
    </dgm:pt>
    <dgm:pt modelId="{A7A3675D-2A7A-2B4D-8E19-7D2B29F0022B}" cxnId="{2EB5C3FB-BEFF-3C44-9C51-0446CE4B87A5}" type="sibTrans">
      <dgm:prSet/>
      <dgm:spPr/>
      <dgm:t>
        <a:bodyPr/>
        <a:p>
          <a:endParaRPr lang="zh-CN" altLang="en-US"/>
        </a:p>
      </dgm:t>
    </dgm:pt>
    <dgm:pt modelId="{672C02F3-6AB7-854A-9CB6-128F52498F2A}" cxnId="{2EB5C3FB-BEFF-3C44-9C51-0446CE4B87A5}" type="parTrans">
      <dgm:prSet/>
      <dgm:spPr/>
      <dgm:t>
        <a:bodyPr/>
        <a:p>
          <a:endParaRPr lang="zh-CN" altLang="en-US"/>
        </a:p>
      </dgm:t>
    </dgm:pt>
    <dgm:pt modelId="{492C5286-A9B3-5F46-862C-B2F8978E7890}">
      <dgm:prSet custT="1"/>
      <dgm:spPr/>
      <dgm:t>
        <a:bodyPr/>
        <a:p>
          <a:r>
            <a:rPr lang="zh-CN" altLang="en-US" sz="900" b="1"/>
            <a:t>联系项目方</a:t>
          </a:r>
        </a:p>
      </dgm:t>
    </dgm:pt>
    <dgm:pt modelId="{D24B0B3D-03DE-EF45-85FC-20FD7889237E}" cxnId="{002D6BA0-D8F0-404B-8235-ABA6F56F713F}" type="parTrans">
      <dgm:prSet/>
      <dgm:spPr/>
      <dgm:t>
        <a:bodyPr/>
        <a:p>
          <a:endParaRPr lang="zh-CN" altLang="en-US"/>
        </a:p>
      </dgm:t>
    </dgm:pt>
    <dgm:pt modelId="{B30F929A-039C-CE42-904D-69204E98F256}" cxnId="{002D6BA0-D8F0-404B-8235-ABA6F56F713F}" type="sibTrans">
      <dgm:prSet/>
      <dgm:spPr/>
      <dgm:t>
        <a:bodyPr/>
        <a:p>
          <a:endParaRPr lang="zh-CN" altLang="en-US"/>
        </a:p>
      </dgm:t>
    </dgm:pt>
    <dgm:pt modelId="{C171D6F3-3A6F-EA45-99A3-78F36D8CB1C5}">
      <dgm:prSet custT="1"/>
      <dgm:spPr/>
      <dgm:t>
        <a:bodyPr/>
        <a:p>
          <a:r>
            <a:rPr lang="en-US" sz="2000" b="1">
              <a:latin typeface="仿宋" panose="02010609060101010101" pitchFamily="3" charset="-122"/>
              <a:ea typeface="仿宋" panose="02010609060101010101" pitchFamily="3" charset="-122"/>
            </a:rPr>
            <a:t>2024</a:t>
          </a:r>
          <a:r>
            <a:rPr lang="zh-CN" sz="2000" b="1">
              <a:latin typeface="仿宋" panose="02010609060101010101" pitchFamily="3" charset="-122"/>
              <a:ea typeface="仿宋" panose="02010609060101010101" pitchFamily="3" charset="-122"/>
            </a:rPr>
            <a:t>年</a:t>
          </a:r>
          <a:r>
            <a:rPr lang="en-US" altLang="zh-CN" sz="2000" b="1">
              <a:latin typeface="仿宋" panose="02010609060101010101" pitchFamily="3" charset="-122"/>
              <a:ea typeface="仿宋" panose="02010609060101010101" pitchFamily="3" charset="-122"/>
            </a:rPr>
            <a:t>4</a:t>
          </a:r>
          <a:r>
            <a:rPr lang="zh-CN" sz="2000" b="1">
              <a:latin typeface="仿宋" panose="02010609060101010101" pitchFamily="3" charset="-122"/>
              <a:ea typeface="仿宋" panose="02010609060101010101" pitchFamily="3" charset="-122"/>
            </a:rPr>
            <a:t>月</a:t>
          </a:r>
          <a:r>
            <a:rPr lang="en-US" altLang="zh-CN" sz="2000" b="1">
              <a:latin typeface="仿宋" panose="02010609060101010101" pitchFamily="3" charset="-122"/>
              <a:ea typeface="仿宋" panose="02010609060101010101" pitchFamily="3" charset="-122"/>
            </a:rPr>
            <a:t>30</a:t>
          </a:r>
          <a:r>
            <a:rPr lang="zh-CN" sz="2000" b="1">
              <a:latin typeface="仿宋" panose="02010609060101010101" pitchFamily="3" charset="-122"/>
              <a:ea typeface="仿宋" panose="02010609060101010101" pitchFamily="3" charset="-122"/>
            </a:rPr>
            <a:t>日</a:t>
          </a:r>
          <a:endParaRPr lang="zh-CN" altLang="en-US" sz="2000">
            <a:latin typeface="仿宋" panose="02010609060101010101" pitchFamily="3" charset="-122"/>
            <a:ea typeface="仿宋" panose="02010609060101010101" pitchFamily="3" charset="-122"/>
          </a:endParaRPr>
        </a:p>
      </dgm:t>
    </dgm:pt>
    <dgm:pt modelId="{E7244D01-A645-7B46-8D59-589BAB28CBAD}" cxnId="{211F966D-8EBA-ED47-B79F-B0646BB8E572}" type="sibTrans">
      <dgm:prSet/>
      <dgm:spPr/>
      <dgm:t>
        <a:bodyPr/>
        <a:p>
          <a:endParaRPr lang="zh-CN" altLang="en-US"/>
        </a:p>
      </dgm:t>
    </dgm:pt>
    <dgm:pt modelId="{77CC0A82-C926-B545-9D6E-DE88B213D914}" cxnId="{211F966D-8EBA-ED47-B79F-B0646BB8E572}" type="parTrans">
      <dgm:prSet/>
      <dgm:spPr/>
      <dgm:t>
        <a:bodyPr/>
        <a:p>
          <a:endParaRPr lang="zh-CN" altLang="en-US"/>
        </a:p>
      </dgm:t>
    </dgm:pt>
    <dgm:pt modelId="{1E29F4AE-927A-924F-BD44-90FCEF000A5E}">
      <dgm:prSet custT="1"/>
      <dgm:spPr/>
      <dgm:t>
        <a:bodyPr/>
        <a:p>
          <a:r>
            <a:rPr lang="zh-CN" altLang="en-US" sz="900" b="1"/>
            <a:t>提交申请表</a:t>
          </a:r>
        </a:p>
      </dgm:t>
    </dgm:pt>
    <dgm:pt modelId="{D8A51AA1-1F05-1A4B-8CD7-97190B302F36}" cxnId="{9139B7CF-D356-CA4C-96DF-1677D97DB5BB}" type="parTrans">
      <dgm:prSet/>
      <dgm:spPr/>
      <dgm:t>
        <a:bodyPr/>
        <a:p>
          <a:endParaRPr lang="zh-CN" altLang="en-US"/>
        </a:p>
      </dgm:t>
    </dgm:pt>
    <dgm:pt modelId="{4B76B2C2-98F4-2A46-89A0-A1E36B686CB3}" cxnId="{9139B7CF-D356-CA4C-96DF-1677D97DB5BB}" type="sibTrans">
      <dgm:prSet/>
      <dgm:spPr/>
      <dgm:t>
        <a:bodyPr/>
        <a:p>
          <a:endParaRPr lang="zh-CN" altLang="en-US"/>
        </a:p>
      </dgm:t>
    </dgm:pt>
    <dgm:pt modelId="{7052450E-2E7E-B848-BE02-CAA66E23D9C6}">
      <dgm:prSet custT="1"/>
      <dgm:spPr/>
      <dgm:t>
        <a:bodyPr/>
        <a:p>
          <a:r>
            <a:rPr lang="zh-CN" altLang="en-US" sz="900" b="1"/>
            <a:t>学校审核申请</a:t>
          </a:r>
        </a:p>
      </dgm:t>
    </dgm:pt>
    <dgm:pt modelId="{0CA7188D-7861-BA43-819F-C72C68923C09}" cxnId="{A89AFE23-C124-1245-992D-3F826EF508F4}" type="parTrans">
      <dgm:prSet/>
      <dgm:spPr/>
      <dgm:t>
        <a:bodyPr/>
        <a:p>
          <a:endParaRPr lang="zh-CN" altLang="en-US"/>
        </a:p>
      </dgm:t>
    </dgm:pt>
    <dgm:pt modelId="{3B3D5EB4-71F1-AE45-931F-11B36A227DF0}" cxnId="{A89AFE23-C124-1245-992D-3F826EF508F4}" type="sibTrans">
      <dgm:prSet/>
      <dgm:spPr/>
      <dgm:t>
        <a:bodyPr/>
        <a:p>
          <a:endParaRPr lang="zh-CN" altLang="en-US"/>
        </a:p>
      </dgm:t>
    </dgm:pt>
    <dgm:pt modelId="{9D609974-FBE8-804C-A62C-3F8322BE4682}">
      <dgm:prSet custT="1"/>
      <dgm:spPr/>
      <dgm:t>
        <a:bodyPr/>
        <a:p>
          <a:r>
            <a:rPr lang="zh-CN" altLang="en-US" sz="900" b="1"/>
            <a:t>项目方面试</a:t>
          </a:r>
        </a:p>
      </dgm:t>
    </dgm:pt>
    <dgm:pt modelId="{60F00F97-2883-8247-8484-3603C0E78B63}" cxnId="{D281AF6E-5657-0446-A2AC-846FFC87FDFB}" type="parTrans">
      <dgm:prSet/>
      <dgm:spPr/>
      <dgm:t>
        <a:bodyPr/>
        <a:p>
          <a:endParaRPr lang="zh-CN" altLang="en-US"/>
        </a:p>
      </dgm:t>
    </dgm:pt>
    <dgm:pt modelId="{FF531F22-9EDF-DB47-BC01-2A53C50378BF}" cxnId="{D281AF6E-5657-0446-A2AC-846FFC87FDFB}" type="sibTrans">
      <dgm:prSet/>
      <dgm:spPr/>
      <dgm:t>
        <a:bodyPr/>
        <a:p>
          <a:endParaRPr lang="zh-CN" altLang="en-US"/>
        </a:p>
      </dgm:t>
    </dgm:pt>
    <dgm:pt modelId="{BC1B8532-5909-2C42-80C1-8B5710511052}">
      <dgm:prSet custT="1"/>
      <dgm:spPr/>
      <dgm:t>
        <a:bodyPr/>
        <a:p>
          <a:r>
            <a:rPr lang="zh-CN" altLang="en-US" sz="900" b="1"/>
            <a:t>通过面试发缴费通知</a:t>
          </a:r>
        </a:p>
      </dgm:t>
    </dgm:pt>
    <dgm:pt modelId="{A6487DF0-23D5-4148-9DA0-B2752CD2494E}" cxnId="{CF959869-8015-DE41-A553-2B69D6AAB208}" type="parTrans">
      <dgm:prSet/>
      <dgm:spPr/>
      <dgm:t>
        <a:bodyPr/>
        <a:p>
          <a:endParaRPr lang="zh-CN" altLang="en-US"/>
        </a:p>
      </dgm:t>
    </dgm:pt>
    <dgm:pt modelId="{9F25231B-9C8A-4C49-8C2E-A71D36DFEB4A}" cxnId="{CF959869-8015-DE41-A553-2B69D6AAB208}" type="sibTrans">
      <dgm:prSet/>
      <dgm:spPr/>
      <dgm:t>
        <a:bodyPr/>
        <a:p>
          <a:endParaRPr lang="zh-CN" altLang="en-US"/>
        </a:p>
      </dgm:t>
    </dgm:pt>
    <dgm:pt modelId="{263800A1-FE38-204E-9FE2-FC2CE283EB15}">
      <dgm:prSet phldrT="[文本]" custT="1"/>
      <dgm:spPr/>
      <dgm:t>
        <a:bodyPr/>
        <a:p>
          <a:r>
            <a:rPr lang="zh-CN" sz="1000" b="1">
              <a:latin typeface="仿宋" panose="02010609060101010101" pitchFamily="3" charset="-122"/>
              <a:ea typeface="仿宋" panose="02010609060101010101" pitchFamily="3" charset="-122"/>
            </a:rPr>
            <a:t>自愿参加，保证项目结束后按时返校</a:t>
          </a:r>
          <a:endParaRPr lang="zh-CN" altLang="en-US" sz="1000" b="1">
            <a:latin typeface="仿宋" panose="02010609060101010101" pitchFamily="3" charset="-122"/>
            <a:ea typeface="仿宋" panose="02010609060101010101" pitchFamily="3" charset="-122"/>
          </a:endParaRPr>
        </a:p>
      </dgm:t>
    </dgm:pt>
    <dgm:pt modelId="{9FA7ECA8-3F17-9142-8850-0FA0308B6EBD}" cxnId="{D24CAB99-0368-6845-8DC7-37C44F14E7AF}" type="parTrans">
      <dgm:prSet/>
      <dgm:spPr/>
    </dgm:pt>
    <dgm:pt modelId="{B734CBAB-86A6-1247-8F32-8F8D250EFF62}" cxnId="{D24CAB99-0368-6845-8DC7-37C44F14E7AF}" type="sibTrans">
      <dgm:prSet/>
      <dgm:spPr/>
    </dgm:pt>
    <dgm:pt modelId="{7BD63941-CA5B-4944-8097-7A169BD96668}" type="pres">
      <dgm:prSet presAssocID="{58DCCEF1-505C-D642-9D59-211E272655D1}" presName="Name0" presStyleCnt="0">
        <dgm:presLayoutVars>
          <dgm:dir/>
          <dgm:animLvl val="lvl"/>
          <dgm:resizeHandles val="exact"/>
        </dgm:presLayoutVars>
      </dgm:prSet>
      <dgm:spPr/>
    </dgm:pt>
    <dgm:pt modelId="{1A6760ED-731C-424E-B308-26AC3FB36FA4}" type="pres">
      <dgm:prSet presAssocID="{58DCCEF1-505C-D642-9D59-211E272655D1}" presName="tSp" presStyleCnt="0"/>
      <dgm:spPr/>
    </dgm:pt>
    <dgm:pt modelId="{0441992B-0992-824F-8D77-0EEF25C8B4B2}" type="pres">
      <dgm:prSet presAssocID="{58DCCEF1-505C-D642-9D59-211E272655D1}" presName="bSp" presStyleCnt="0"/>
      <dgm:spPr/>
    </dgm:pt>
    <dgm:pt modelId="{59A4D43C-EB05-FD46-8F54-6F3C39CBB9DF}" type="pres">
      <dgm:prSet presAssocID="{58DCCEF1-505C-D642-9D59-211E272655D1}" presName="process" presStyleCnt="0"/>
      <dgm:spPr/>
    </dgm:pt>
    <dgm:pt modelId="{12350483-81CA-F844-878A-D6B883DBA3FC}" type="pres">
      <dgm:prSet presAssocID="{CF8D062E-0929-4B40-88A9-86D42DF01575}" presName="composite1" presStyleCnt="0"/>
      <dgm:spPr/>
    </dgm:pt>
    <dgm:pt modelId="{E398FE47-AE1E-D84F-87B7-7566061B99C3}" type="pres">
      <dgm:prSet presAssocID="{CF8D062E-0929-4B40-88A9-86D42DF01575}" presName="dummyNode1" presStyleLbl="node1" presStyleIdx="0" presStyleCnt="3"/>
      <dgm:spPr/>
    </dgm:pt>
    <dgm:pt modelId="{27B99159-CB6E-3E49-BB17-E88D605BBA36}" type="pres">
      <dgm:prSet presAssocID="{CF8D062E-0929-4B40-88A9-86D42DF01575}" presName="childNode1" presStyleLbl="bgAcc1" presStyleIdx="0" presStyleCnt="3">
        <dgm:presLayoutVars>
          <dgm:bulletEnabled val="1"/>
        </dgm:presLayoutVars>
      </dgm:prSet>
      <dgm:spPr/>
    </dgm:pt>
    <dgm:pt modelId="{C4C87973-CCD1-774D-8A32-1FE606D77082}" type="pres">
      <dgm:prSet presAssocID="{CF8D062E-0929-4B40-88A9-86D42DF01575}" presName="childNode1tx" presStyleLbl="bgAcc1" presStyleIdx="0" presStyleCnt="3">
        <dgm:presLayoutVars>
          <dgm:bulletEnabled val="1"/>
        </dgm:presLayoutVars>
      </dgm:prSet>
      <dgm:spPr/>
    </dgm:pt>
    <dgm:pt modelId="{C4C8D89D-9A09-C247-A6A1-0343CAD750D8}" type="pres">
      <dgm:prSet presAssocID="{CF8D062E-0929-4B40-88A9-86D42DF01575}" presName="parentNode1" presStyleLbl="node1" presStyleIdx="0" presStyleCnt="3">
        <dgm:presLayoutVars>
          <dgm:chMax val="1"/>
          <dgm:bulletEnabled val="1"/>
        </dgm:presLayoutVars>
      </dgm:prSet>
      <dgm:spPr/>
    </dgm:pt>
    <dgm:pt modelId="{3D51DE79-0C19-4A48-B659-85107D4BDDB2}" type="pres">
      <dgm:prSet presAssocID="{CF8D062E-0929-4B40-88A9-86D42DF01575}" presName="connSite1" presStyleCnt="0"/>
      <dgm:spPr/>
    </dgm:pt>
    <dgm:pt modelId="{AED04EC4-B3BB-FE47-929C-B0BA6AF3C61C}" type="pres">
      <dgm:prSet presAssocID="{B934E445-A384-CE4E-823C-92FDDA0CF710}" presName="Name9" presStyleLbl="sibTrans2D1" presStyleIdx="0" presStyleCnt="2"/>
      <dgm:spPr/>
    </dgm:pt>
    <dgm:pt modelId="{AB1CA39F-A7C8-8642-BD07-8D6BF5E55C00}" type="pres">
      <dgm:prSet presAssocID="{88105DAC-6951-8C47-9BED-7D6D7578C0DF}" presName="composite2" presStyleCnt="0"/>
      <dgm:spPr/>
    </dgm:pt>
    <dgm:pt modelId="{2C7E89BA-1B4E-9348-B5A8-4DEF45723E9B}" type="pres">
      <dgm:prSet presAssocID="{88105DAC-6951-8C47-9BED-7D6D7578C0DF}" presName="dummyNode2" presStyleLbl="node1" presStyleIdx="0" presStyleCnt="3"/>
      <dgm:spPr/>
    </dgm:pt>
    <dgm:pt modelId="{F77B0760-0140-CD4A-8FFE-F964EC1DD928}" type="pres">
      <dgm:prSet presAssocID="{88105DAC-6951-8C47-9BED-7D6D7578C0DF}" presName="childNode2" presStyleLbl="bgAcc1" presStyleIdx="1" presStyleCnt="3">
        <dgm:presLayoutVars>
          <dgm:bulletEnabled val="1"/>
        </dgm:presLayoutVars>
      </dgm:prSet>
      <dgm:spPr/>
    </dgm:pt>
    <dgm:pt modelId="{510BA4FF-A0DC-3A43-9A63-8BC34DF3A1E9}" type="pres">
      <dgm:prSet presAssocID="{88105DAC-6951-8C47-9BED-7D6D7578C0DF}" presName="childNode2tx" presStyleLbl="bgAcc1" presStyleIdx="1" presStyleCnt="3">
        <dgm:presLayoutVars>
          <dgm:bulletEnabled val="1"/>
        </dgm:presLayoutVars>
      </dgm:prSet>
      <dgm:spPr/>
    </dgm:pt>
    <dgm:pt modelId="{2F2B28EA-1E54-414F-AD09-E8D339FF7459}" type="pres">
      <dgm:prSet presAssocID="{88105DAC-6951-8C47-9BED-7D6D7578C0DF}" presName="parentNode2" presStyleLbl="node1" presStyleIdx="1" presStyleCnt="3">
        <dgm:presLayoutVars>
          <dgm:chMax val="0"/>
          <dgm:bulletEnabled val="1"/>
        </dgm:presLayoutVars>
      </dgm:prSet>
      <dgm:spPr/>
    </dgm:pt>
    <dgm:pt modelId="{49B1F030-515E-214D-9A8B-FCF3B281B345}" type="pres">
      <dgm:prSet presAssocID="{88105DAC-6951-8C47-9BED-7D6D7578C0DF}" presName="connSite2" presStyleCnt="0"/>
      <dgm:spPr/>
    </dgm:pt>
    <dgm:pt modelId="{1BCC73C1-3B5A-154D-B8F5-2F502CF97585}" type="pres">
      <dgm:prSet presAssocID="{84A2AA32-C33A-4F46-B8C8-DBB2678D5B3E}" presName="Name18" presStyleLbl="sibTrans2D1" presStyleIdx="1" presStyleCnt="2"/>
      <dgm:spPr/>
    </dgm:pt>
    <dgm:pt modelId="{AEBF0516-C833-AC43-BD0B-34BB133BAD49}" type="pres">
      <dgm:prSet presAssocID="{B989051D-91C9-E546-B1F6-9A8A234ACD9C}" presName="composite1" presStyleCnt="0"/>
      <dgm:spPr/>
    </dgm:pt>
    <dgm:pt modelId="{A08EE1CB-0C1A-B34C-BD61-D117B158378D}" type="pres">
      <dgm:prSet presAssocID="{B989051D-91C9-E546-B1F6-9A8A234ACD9C}" presName="dummyNode1" presStyleLbl="node1" presStyleIdx="1" presStyleCnt="3"/>
      <dgm:spPr/>
    </dgm:pt>
    <dgm:pt modelId="{44BC9401-882E-4541-82FE-64300CCEC95E}" type="pres">
      <dgm:prSet presAssocID="{B989051D-91C9-E546-B1F6-9A8A234ACD9C}" presName="childNode1" presStyleLbl="bgAcc1" presStyleIdx="2" presStyleCnt="3">
        <dgm:presLayoutVars>
          <dgm:bulletEnabled val="1"/>
        </dgm:presLayoutVars>
      </dgm:prSet>
      <dgm:spPr/>
    </dgm:pt>
    <dgm:pt modelId="{85E66B66-88F4-F84A-8E5F-65BA8D2ABD49}" type="pres">
      <dgm:prSet presAssocID="{B989051D-91C9-E546-B1F6-9A8A234ACD9C}" presName="childNode1tx" presStyleLbl="bgAcc1" presStyleIdx="2" presStyleCnt="3">
        <dgm:presLayoutVars>
          <dgm:bulletEnabled val="1"/>
        </dgm:presLayoutVars>
      </dgm:prSet>
      <dgm:spPr/>
    </dgm:pt>
    <dgm:pt modelId="{47C166FD-3BFF-284E-B18E-EF8C7C8AC64D}" type="pres">
      <dgm:prSet presAssocID="{B989051D-91C9-E546-B1F6-9A8A234ACD9C}" presName="parentNode1" presStyleLbl="node1" presStyleIdx="2" presStyleCnt="3">
        <dgm:presLayoutVars>
          <dgm:chMax val="1"/>
          <dgm:bulletEnabled val="1"/>
        </dgm:presLayoutVars>
      </dgm:prSet>
      <dgm:spPr/>
    </dgm:pt>
    <dgm:pt modelId="{94C3C888-70F9-7245-BE7E-FC1543BF5B84}" type="pres">
      <dgm:prSet presAssocID="{B989051D-91C9-E546-B1F6-9A8A234ACD9C}" presName="connSite1" presStyleCnt="0"/>
      <dgm:spPr/>
    </dgm:pt>
  </dgm:ptLst>
  <dgm:cxnLst>
    <dgm:cxn modelId="{7096EA09-67E2-8C41-9D83-F15C48A17913}" type="presOf" srcId="{C6801810-06BC-FA4B-9AFF-543AAA2EFE5C}" destId="{C4C87973-CCD1-774D-8A32-1FE606D77082}" srcOrd="1" destOrd="1" presId="urn:microsoft.com/office/officeart/2005/8/layout/hProcess4"/>
    <dgm:cxn modelId="{1925C419-D04F-0847-9F3F-CA3BCC5D06EF}" type="presOf" srcId="{9D609974-FBE8-804C-A62C-3F8322BE4682}" destId="{F77B0760-0140-CD4A-8FFE-F964EC1DD928}" srcOrd="0" destOrd="3" presId="urn:microsoft.com/office/officeart/2005/8/layout/hProcess4"/>
    <dgm:cxn modelId="{F8BBCA1E-F7D8-1247-85CC-94CACBB529AF}" type="presOf" srcId="{C171D6F3-3A6F-EA45-99A3-78F36D8CB1C5}" destId="{85E66B66-88F4-F84A-8E5F-65BA8D2ABD49}" srcOrd="1" destOrd="0" presId="urn:microsoft.com/office/officeart/2005/8/layout/hProcess4"/>
    <dgm:cxn modelId="{A7EF5220-B863-2140-8351-DD7580555027}" type="presOf" srcId="{492C5286-A9B3-5F46-862C-B2F8978E7890}" destId="{510BA4FF-A0DC-3A43-9A63-8BC34DF3A1E9}" srcOrd="1" destOrd="0" presId="urn:microsoft.com/office/officeart/2005/8/layout/hProcess4"/>
    <dgm:cxn modelId="{A89AFE23-C124-1245-992D-3F826EF508F4}" srcId="{88105DAC-6951-8C47-9BED-7D6D7578C0DF}" destId="{7052450E-2E7E-B848-BE02-CAA66E23D9C6}" srcOrd="2" destOrd="0" parTransId="{0CA7188D-7861-BA43-819F-C72C68923C09}" sibTransId="{3B3D5EB4-71F1-AE45-931F-11B36A227DF0}"/>
    <dgm:cxn modelId="{71A12326-E144-7A4B-B094-281154FE3526}" type="presOf" srcId="{84A2AA32-C33A-4F46-B8C8-DBB2678D5B3E}" destId="{1BCC73C1-3B5A-154D-B8F5-2F502CF97585}" srcOrd="0" destOrd="0" presId="urn:microsoft.com/office/officeart/2005/8/layout/hProcess4"/>
    <dgm:cxn modelId="{054D5628-A227-E14D-9292-FC2686273623}" srcId="{CF8D062E-0929-4B40-88A9-86D42DF01575}" destId="{C6801810-06BC-FA4B-9AFF-543AAA2EFE5C}" srcOrd="1" destOrd="0" parTransId="{1026D7A6-5618-D847-A98C-91E99B847359}" sibTransId="{793D798E-071C-174E-97B3-05DD2FECDBD0}"/>
    <dgm:cxn modelId="{E7C6E92A-37CE-C44E-9E75-5E0C982F37D1}" type="presOf" srcId="{1E29F4AE-927A-924F-BD44-90FCEF000A5E}" destId="{510BA4FF-A0DC-3A43-9A63-8BC34DF3A1E9}" srcOrd="1" destOrd="1" presId="urn:microsoft.com/office/officeart/2005/8/layout/hProcess4"/>
    <dgm:cxn modelId="{6F6E523F-6ACC-A84B-B458-8680BF81640B}" type="presOf" srcId="{263800A1-FE38-204E-9FE2-FC2CE283EB15}" destId="{C4C87973-CCD1-774D-8A32-1FE606D77082}" srcOrd="1" destOrd="2" presId="urn:microsoft.com/office/officeart/2005/8/layout/hProcess4"/>
    <dgm:cxn modelId="{62199550-F0A9-884A-9032-1E7EAC073D82}" type="presOf" srcId="{BC1B8532-5909-2C42-80C1-8B5710511052}" destId="{510BA4FF-A0DC-3A43-9A63-8BC34DF3A1E9}" srcOrd="1" destOrd="4" presId="urn:microsoft.com/office/officeart/2005/8/layout/hProcess4"/>
    <dgm:cxn modelId="{D0A5B151-1996-4A4C-B571-426F2E2356C9}" srcId="{58DCCEF1-505C-D642-9D59-211E272655D1}" destId="{B989051D-91C9-E546-B1F6-9A8A234ACD9C}" srcOrd="2" destOrd="0" parTransId="{FE109401-9C68-5045-A9DC-59D33D2D7925}" sibTransId="{A73DA8C0-F282-8748-B13E-6B633A5906A4}"/>
    <dgm:cxn modelId="{1B746A5A-8B37-6E4B-891E-960DCB09B868}" type="presOf" srcId="{492C5286-A9B3-5F46-862C-B2F8978E7890}" destId="{F77B0760-0140-CD4A-8FFE-F964EC1DD928}" srcOrd="0" destOrd="0" presId="urn:microsoft.com/office/officeart/2005/8/layout/hProcess4"/>
    <dgm:cxn modelId="{CF959869-8015-DE41-A553-2B69D6AAB208}" srcId="{88105DAC-6951-8C47-9BED-7D6D7578C0DF}" destId="{BC1B8532-5909-2C42-80C1-8B5710511052}" srcOrd="4" destOrd="0" parTransId="{A6487DF0-23D5-4148-9DA0-B2752CD2494E}" sibTransId="{9F25231B-9C8A-4C49-8C2E-A71D36DFEB4A}"/>
    <dgm:cxn modelId="{211F966D-8EBA-ED47-B79F-B0646BB8E572}" srcId="{B989051D-91C9-E546-B1F6-9A8A234ACD9C}" destId="{C171D6F3-3A6F-EA45-99A3-78F36D8CB1C5}" srcOrd="0" destOrd="0" parTransId="{77CC0A82-C926-B545-9D6E-DE88B213D914}" sibTransId="{E7244D01-A645-7B46-8D59-589BAB28CBAD}"/>
    <dgm:cxn modelId="{C6E2FB6D-0790-2F43-8648-F5AEA14D5872}" type="presOf" srcId="{9C742FA3-451F-D046-943D-9DFDD5751AEB}" destId="{C4C87973-CCD1-774D-8A32-1FE606D77082}" srcOrd="1" destOrd="0" presId="urn:microsoft.com/office/officeart/2005/8/layout/hProcess4"/>
    <dgm:cxn modelId="{D281AF6E-5657-0446-A2AC-846FFC87FDFB}" srcId="{88105DAC-6951-8C47-9BED-7D6D7578C0DF}" destId="{9D609974-FBE8-804C-A62C-3F8322BE4682}" srcOrd="3" destOrd="0" parTransId="{60F00F97-2883-8247-8484-3603C0E78B63}" sibTransId="{FF531F22-9EDF-DB47-BC01-2A53C50378BF}"/>
    <dgm:cxn modelId="{1E689788-6BDA-594A-AD87-A91257A76FC8}" srcId="{58DCCEF1-505C-D642-9D59-211E272655D1}" destId="{88105DAC-6951-8C47-9BED-7D6D7578C0DF}" srcOrd="1" destOrd="0" parTransId="{87BA08F3-DD73-0048-B0E0-E1DB7143A7A0}" sibTransId="{84A2AA32-C33A-4F46-B8C8-DBB2678D5B3E}"/>
    <dgm:cxn modelId="{B3871289-8FDB-524B-AB3E-21B72EDFE8A9}" type="presOf" srcId="{7052450E-2E7E-B848-BE02-CAA66E23D9C6}" destId="{510BA4FF-A0DC-3A43-9A63-8BC34DF3A1E9}" srcOrd="1" destOrd="2" presId="urn:microsoft.com/office/officeart/2005/8/layout/hProcess4"/>
    <dgm:cxn modelId="{1792BD96-E56E-954C-9A84-BF59ADF194E6}" type="presOf" srcId="{9D609974-FBE8-804C-A62C-3F8322BE4682}" destId="{510BA4FF-A0DC-3A43-9A63-8BC34DF3A1E9}" srcOrd="1" destOrd="3" presId="urn:microsoft.com/office/officeart/2005/8/layout/hProcess4"/>
    <dgm:cxn modelId="{D24CAB99-0368-6845-8DC7-37C44F14E7AF}" srcId="{CF8D062E-0929-4B40-88A9-86D42DF01575}" destId="{263800A1-FE38-204E-9FE2-FC2CE283EB15}" srcOrd="2" destOrd="0" parTransId="{9FA7ECA8-3F17-9142-8850-0FA0308B6EBD}" sibTransId="{B734CBAB-86A6-1247-8F32-8F8D250EFF62}"/>
    <dgm:cxn modelId="{002D6BA0-D8F0-404B-8235-ABA6F56F713F}" srcId="{88105DAC-6951-8C47-9BED-7D6D7578C0DF}" destId="{492C5286-A9B3-5F46-862C-B2F8978E7890}" srcOrd="0" destOrd="0" parTransId="{D24B0B3D-03DE-EF45-85FC-20FD7889237E}" sibTransId="{B30F929A-039C-CE42-904D-69204E98F256}"/>
    <dgm:cxn modelId="{7A1904B5-8D53-3D4B-8976-D20D7C7B8BA6}" type="presOf" srcId="{7052450E-2E7E-B848-BE02-CAA66E23D9C6}" destId="{F77B0760-0140-CD4A-8FFE-F964EC1DD928}" srcOrd="0" destOrd="2" presId="urn:microsoft.com/office/officeart/2005/8/layout/hProcess4"/>
    <dgm:cxn modelId="{6A7B8BBC-3844-4846-B5D9-8E232EC0BB39}" type="presOf" srcId="{9C742FA3-451F-D046-943D-9DFDD5751AEB}" destId="{27B99159-CB6E-3E49-BB17-E88D605BBA36}" srcOrd="0" destOrd="0" presId="urn:microsoft.com/office/officeart/2005/8/layout/hProcess4"/>
    <dgm:cxn modelId="{059CD4BE-9AF2-9644-875C-77B9BB4ACF17}" type="presOf" srcId="{C171D6F3-3A6F-EA45-99A3-78F36D8CB1C5}" destId="{44BC9401-882E-4541-82FE-64300CCEC95E}" srcOrd="0" destOrd="0" presId="urn:microsoft.com/office/officeart/2005/8/layout/hProcess4"/>
    <dgm:cxn modelId="{4619F7C2-0E1A-6C48-B3C4-4FF43A84F7B2}" type="presOf" srcId="{CF8D062E-0929-4B40-88A9-86D42DF01575}" destId="{C4C8D89D-9A09-C247-A6A1-0343CAD750D8}" srcOrd="0" destOrd="0" presId="urn:microsoft.com/office/officeart/2005/8/layout/hProcess4"/>
    <dgm:cxn modelId="{DF5618C8-0A47-294E-9417-652132B48F92}" srcId="{58DCCEF1-505C-D642-9D59-211E272655D1}" destId="{CF8D062E-0929-4B40-88A9-86D42DF01575}" srcOrd="0" destOrd="0" parTransId="{C30D3BBA-5E5B-4441-B906-A5AF3BE18413}" sibTransId="{B934E445-A384-CE4E-823C-92FDDA0CF710}"/>
    <dgm:cxn modelId="{793325CF-D712-A14A-B755-51D7F8F77A63}" type="presOf" srcId="{BC1B8532-5909-2C42-80C1-8B5710511052}" destId="{F77B0760-0140-CD4A-8FFE-F964EC1DD928}" srcOrd="0" destOrd="4" presId="urn:microsoft.com/office/officeart/2005/8/layout/hProcess4"/>
    <dgm:cxn modelId="{8C3793CF-EB5B-5744-AF93-C39463C061CF}" type="presOf" srcId="{C6801810-06BC-FA4B-9AFF-543AAA2EFE5C}" destId="{27B99159-CB6E-3E49-BB17-E88D605BBA36}" srcOrd="0" destOrd="1" presId="urn:microsoft.com/office/officeart/2005/8/layout/hProcess4"/>
    <dgm:cxn modelId="{9139B7CF-D356-CA4C-96DF-1677D97DB5BB}" srcId="{88105DAC-6951-8C47-9BED-7D6D7578C0DF}" destId="{1E29F4AE-927A-924F-BD44-90FCEF000A5E}" srcOrd="1" destOrd="0" parTransId="{D8A51AA1-1F05-1A4B-8CD7-97190B302F36}" sibTransId="{4B76B2C2-98F4-2A46-89A0-A1E36B686CB3}"/>
    <dgm:cxn modelId="{C894FDD7-5456-1D4E-81C9-664EBF08B274}" type="presOf" srcId="{B989051D-91C9-E546-B1F6-9A8A234ACD9C}" destId="{47C166FD-3BFF-284E-B18E-EF8C7C8AC64D}" srcOrd="0" destOrd="0" presId="urn:microsoft.com/office/officeart/2005/8/layout/hProcess4"/>
    <dgm:cxn modelId="{F70E3AE7-F3F3-884D-80A7-179EB065F376}" type="presOf" srcId="{B934E445-A384-CE4E-823C-92FDDA0CF710}" destId="{AED04EC4-B3BB-FE47-929C-B0BA6AF3C61C}" srcOrd="0" destOrd="0" presId="urn:microsoft.com/office/officeart/2005/8/layout/hProcess4"/>
    <dgm:cxn modelId="{BC5049E7-54BA-6646-A9A4-0462A1CD1FDF}" type="presOf" srcId="{58DCCEF1-505C-D642-9D59-211E272655D1}" destId="{7BD63941-CA5B-4944-8097-7A169BD96668}" srcOrd="0" destOrd="0" presId="urn:microsoft.com/office/officeart/2005/8/layout/hProcess4"/>
    <dgm:cxn modelId="{CFF9FCF3-1245-A341-9461-EE5C1CACAD32}" type="presOf" srcId="{263800A1-FE38-204E-9FE2-FC2CE283EB15}" destId="{27B99159-CB6E-3E49-BB17-E88D605BBA36}" srcOrd="0" destOrd="2" presId="urn:microsoft.com/office/officeart/2005/8/layout/hProcess4"/>
    <dgm:cxn modelId="{DD47DFF5-70F3-614E-BC2F-938E6D682BEB}" type="presOf" srcId="{1E29F4AE-927A-924F-BD44-90FCEF000A5E}" destId="{F77B0760-0140-CD4A-8FFE-F964EC1DD928}" srcOrd="0" destOrd="1" presId="urn:microsoft.com/office/officeart/2005/8/layout/hProcess4"/>
    <dgm:cxn modelId="{607898F6-5796-F74E-98B0-4249B89D44A3}" type="presOf" srcId="{88105DAC-6951-8C47-9BED-7D6D7578C0DF}" destId="{2F2B28EA-1E54-414F-AD09-E8D339FF7459}" srcOrd="0" destOrd="0" presId="urn:microsoft.com/office/officeart/2005/8/layout/hProcess4"/>
    <dgm:cxn modelId="{2EB5C3FB-BEFF-3C44-9C51-0446CE4B87A5}" srcId="{CF8D062E-0929-4B40-88A9-86D42DF01575}" destId="{9C742FA3-451F-D046-943D-9DFDD5751AEB}" srcOrd="0" destOrd="0" parTransId="{672C02F3-6AB7-854A-9CB6-128F52498F2A}" sibTransId="{A7A3675D-2A7A-2B4D-8E19-7D2B29F0022B}"/>
    <dgm:cxn modelId="{F3182F75-687D-FD42-8103-3AABAFFBD609}" type="presParOf" srcId="{7BD63941-CA5B-4944-8097-7A169BD96668}" destId="{1A6760ED-731C-424E-B308-26AC3FB36FA4}" srcOrd="0" destOrd="0" presId="urn:microsoft.com/office/officeart/2005/8/layout/hProcess4"/>
    <dgm:cxn modelId="{A04864B9-F394-AB4B-BF06-139D805611F6}" type="presParOf" srcId="{7BD63941-CA5B-4944-8097-7A169BD96668}" destId="{0441992B-0992-824F-8D77-0EEF25C8B4B2}" srcOrd="1" destOrd="0" presId="urn:microsoft.com/office/officeart/2005/8/layout/hProcess4"/>
    <dgm:cxn modelId="{6BA41AB6-C222-BE4C-AE55-787C34343B32}" type="presParOf" srcId="{7BD63941-CA5B-4944-8097-7A169BD96668}" destId="{59A4D43C-EB05-FD46-8F54-6F3C39CBB9DF}" srcOrd="2" destOrd="0" presId="urn:microsoft.com/office/officeart/2005/8/layout/hProcess4"/>
    <dgm:cxn modelId="{EA3E4E6A-C363-304A-8EC3-0743E545084B}" type="presParOf" srcId="{59A4D43C-EB05-FD46-8F54-6F3C39CBB9DF}" destId="{12350483-81CA-F844-878A-D6B883DBA3FC}" srcOrd="0" destOrd="0" presId="urn:microsoft.com/office/officeart/2005/8/layout/hProcess4"/>
    <dgm:cxn modelId="{1CD15D67-7EDF-B94F-92DF-A88A4895691F}" type="presParOf" srcId="{12350483-81CA-F844-878A-D6B883DBA3FC}" destId="{E398FE47-AE1E-D84F-87B7-7566061B99C3}" srcOrd="0" destOrd="0" presId="urn:microsoft.com/office/officeart/2005/8/layout/hProcess4"/>
    <dgm:cxn modelId="{1D6FDDE7-9AE3-B14F-A72D-2C5BE2C3F2AC}" type="presParOf" srcId="{12350483-81CA-F844-878A-D6B883DBA3FC}" destId="{27B99159-CB6E-3E49-BB17-E88D605BBA36}" srcOrd="1" destOrd="0" presId="urn:microsoft.com/office/officeart/2005/8/layout/hProcess4"/>
    <dgm:cxn modelId="{205E60D1-5230-4149-B982-C239F6408A93}" type="presParOf" srcId="{12350483-81CA-F844-878A-D6B883DBA3FC}" destId="{C4C87973-CCD1-774D-8A32-1FE606D77082}" srcOrd="2" destOrd="0" presId="urn:microsoft.com/office/officeart/2005/8/layout/hProcess4"/>
    <dgm:cxn modelId="{77FE01EB-D565-4E4B-BD8A-EFAEADF524D5}" type="presParOf" srcId="{12350483-81CA-F844-878A-D6B883DBA3FC}" destId="{C4C8D89D-9A09-C247-A6A1-0343CAD750D8}" srcOrd="3" destOrd="0" presId="urn:microsoft.com/office/officeart/2005/8/layout/hProcess4"/>
    <dgm:cxn modelId="{D9DD7072-0A8D-544B-BC06-909D6C0CC8DF}" type="presParOf" srcId="{12350483-81CA-F844-878A-D6B883DBA3FC}" destId="{3D51DE79-0C19-4A48-B659-85107D4BDDB2}" srcOrd="4" destOrd="0" presId="urn:microsoft.com/office/officeart/2005/8/layout/hProcess4"/>
    <dgm:cxn modelId="{9B4FAEF5-7322-644A-9375-9A9AF9BC65C6}" type="presParOf" srcId="{59A4D43C-EB05-FD46-8F54-6F3C39CBB9DF}" destId="{AED04EC4-B3BB-FE47-929C-B0BA6AF3C61C}" srcOrd="1" destOrd="0" presId="urn:microsoft.com/office/officeart/2005/8/layout/hProcess4"/>
    <dgm:cxn modelId="{A57FBDCF-FF6A-9446-A374-4EB73EE51950}" type="presParOf" srcId="{59A4D43C-EB05-FD46-8F54-6F3C39CBB9DF}" destId="{AB1CA39F-A7C8-8642-BD07-8D6BF5E55C00}" srcOrd="2" destOrd="0" presId="urn:microsoft.com/office/officeart/2005/8/layout/hProcess4"/>
    <dgm:cxn modelId="{8C7A1433-3D6B-3B48-84DB-EA3722BF258B}" type="presParOf" srcId="{AB1CA39F-A7C8-8642-BD07-8D6BF5E55C00}" destId="{2C7E89BA-1B4E-9348-B5A8-4DEF45723E9B}" srcOrd="0" destOrd="0" presId="urn:microsoft.com/office/officeart/2005/8/layout/hProcess4"/>
    <dgm:cxn modelId="{90DCA890-07C6-194E-A9D8-7034B0830CF3}" type="presParOf" srcId="{AB1CA39F-A7C8-8642-BD07-8D6BF5E55C00}" destId="{F77B0760-0140-CD4A-8FFE-F964EC1DD928}" srcOrd="1" destOrd="0" presId="urn:microsoft.com/office/officeart/2005/8/layout/hProcess4"/>
    <dgm:cxn modelId="{AF6D720D-BBE2-0B4C-8078-0B0F2EBF4560}" type="presParOf" srcId="{AB1CA39F-A7C8-8642-BD07-8D6BF5E55C00}" destId="{510BA4FF-A0DC-3A43-9A63-8BC34DF3A1E9}" srcOrd="2" destOrd="0" presId="urn:microsoft.com/office/officeart/2005/8/layout/hProcess4"/>
    <dgm:cxn modelId="{7A60A5AC-41F3-F44C-8061-476494968C52}" type="presParOf" srcId="{AB1CA39F-A7C8-8642-BD07-8D6BF5E55C00}" destId="{2F2B28EA-1E54-414F-AD09-E8D339FF7459}" srcOrd="3" destOrd="0" presId="urn:microsoft.com/office/officeart/2005/8/layout/hProcess4"/>
    <dgm:cxn modelId="{0EF4FBCB-9CE9-EF48-AA90-DC5D4CC4B894}" type="presParOf" srcId="{AB1CA39F-A7C8-8642-BD07-8D6BF5E55C00}" destId="{49B1F030-515E-214D-9A8B-FCF3B281B345}" srcOrd="4" destOrd="0" presId="urn:microsoft.com/office/officeart/2005/8/layout/hProcess4"/>
    <dgm:cxn modelId="{BEF78F96-9062-6D48-A024-8ED406D9EBE0}" type="presParOf" srcId="{59A4D43C-EB05-FD46-8F54-6F3C39CBB9DF}" destId="{1BCC73C1-3B5A-154D-B8F5-2F502CF97585}" srcOrd="3" destOrd="0" presId="urn:microsoft.com/office/officeart/2005/8/layout/hProcess4"/>
    <dgm:cxn modelId="{BFB5B61B-0C76-694A-A64D-EE5455550646}" type="presParOf" srcId="{59A4D43C-EB05-FD46-8F54-6F3C39CBB9DF}" destId="{AEBF0516-C833-AC43-BD0B-34BB133BAD49}" srcOrd="4" destOrd="0" presId="urn:microsoft.com/office/officeart/2005/8/layout/hProcess4"/>
    <dgm:cxn modelId="{EF4AA1D3-552C-064D-BAE6-ED89515C0F2A}" type="presParOf" srcId="{AEBF0516-C833-AC43-BD0B-34BB133BAD49}" destId="{A08EE1CB-0C1A-B34C-BD61-D117B158378D}" srcOrd="0" destOrd="0" presId="urn:microsoft.com/office/officeart/2005/8/layout/hProcess4"/>
    <dgm:cxn modelId="{DD3CC21A-9C49-5F49-AA43-3062AA95606D}" type="presParOf" srcId="{AEBF0516-C833-AC43-BD0B-34BB133BAD49}" destId="{44BC9401-882E-4541-82FE-64300CCEC95E}" srcOrd="1" destOrd="0" presId="urn:microsoft.com/office/officeart/2005/8/layout/hProcess4"/>
    <dgm:cxn modelId="{11524F27-5398-6B49-A84E-92649CCB4140}" type="presParOf" srcId="{AEBF0516-C833-AC43-BD0B-34BB133BAD49}" destId="{85E66B66-88F4-F84A-8E5F-65BA8D2ABD49}" srcOrd="2" destOrd="0" presId="urn:microsoft.com/office/officeart/2005/8/layout/hProcess4"/>
    <dgm:cxn modelId="{37BEF6F6-4721-D644-898C-496B09E6EED1}" type="presParOf" srcId="{AEBF0516-C833-AC43-BD0B-34BB133BAD49}" destId="{47C166FD-3BFF-284E-B18E-EF8C7C8AC64D}" srcOrd="3" destOrd="0" presId="urn:microsoft.com/office/officeart/2005/8/layout/hProcess4"/>
    <dgm:cxn modelId="{24CDC794-0BEB-3F4C-B565-C37D5C36756A}" type="presParOf" srcId="{AEBF0516-C833-AC43-BD0B-34BB133BAD49}" destId="{94C3C888-70F9-7245-BE7E-FC1543BF5B84}" srcOrd="4" destOrd="0" presId="urn:microsoft.com/office/officeart/2005/8/layout/hProcess4"/>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xmlns:r="http://schemas.openxmlformats.org/officeDocument/2006/relationships">
  <dsp:spTree>
    <dsp:nvGrpSpPr>
      <dsp:cNvPr id="2" name="组合 1"/>
      <dsp:cNvGrpSpPr/>
    </dsp:nvGrpSpPr>
    <dsp:grpSpPr>
      <a:xfrm>
        <a:off x="0" y="0"/>
        <a:ext cx="6640830" cy="3628390"/>
        <a:chOff x="0" y="0"/>
        <a:chExt cx="6640830" cy="3628390"/>
      </a:xfrm>
    </dsp:grpSpPr>
    <dsp:sp modelId="{27B99159-CB6E-3E49-BB17-E88D605BBA36}">
      <dsp:nvSpPr>
        <dsp:cNvPr id="4" name="圆角矩形 3"/>
        <dsp:cNvSpPr/>
      </dsp:nvSpPr>
      <dsp:spPr bwMode="white">
        <a:xfrm>
          <a:off x="0" y="1072142"/>
          <a:ext cx="1799373" cy="1484106"/>
        </a:xfrm>
        <a:prstGeom prst="roundRect">
          <a:avLst>
            <a:gd name="adj" fmla="val 10000"/>
          </a:avLst>
        </a:prstGeom>
      </dsp:spPr>
      <dsp:style>
        <a:lnRef idx="2">
          <a:schemeClr val="accent1"/>
        </a:lnRef>
        <a:fillRef idx="1">
          <a:schemeClr val="lt1">
            <a:alpha val="90000"/>
          </a:schemeClr>
        </a:fillRef>
        <a:effectRef idx="0">
          <a:scrgbClr r="0" g="0" b="0"/>
        </a:effectRef>
        <a:fontRef idx="minor"/>
      </dsp:style>
      <dsp:txBody>
        <a:bodyPr lIns="19050" tIns="19050" rIns="19050" bIns="19050" anchor="t"/>
        <a:lstStyle>
          <a:lvl1pPr algn="l">
            <a:defRPr sz="6500"/>
          </a:lvl1pPr>
          <a:lvl2pPr marL="285750" indent="-285750" algn="l">
            <a:defRPr sz="6500"/>
          </a:lvl2pPr>
          <a:lvl3pPr marL="571500" indent="-285750" algn="l">
            <a:defRPr sz="6500"/>
          </a:lvl3pPr>
          <a:lvl4pPr marL="857250" indent="-285750" algn="l">
            <a:defRPr sz="6500"/>
          </a:lvl4pPr>
          <a:lvl5pPr marL="1143000" indent="-285750" algn="l">
            <a:defRPr sz="6500"/>
          </a:lvl5pPr>
          <a:lvl6pPr marL="1428750" indent="-285750" algn="l">
            <a:defRPr sz="6500"/>
          </a:lvl6pPr>
          <a:lvl7pPr marL="1714500" indent="-285750" algn="l">
            <a:defRPr sz="6500"/>
          </a:lvl7pPr>
          <a:lvl8pPr marL="2000250" indent="-285750" algn="l">
            <a:defRPr sz="6500"/>
          </a:lvl8pPr>
          <a:lvl9pPr marL="2286000" indent="-285750" algn="l">
            <a:defRPr sz="6500"/>
          </a:lvl9pPr>
        </a:lstStyle>
        <a:p>
          <a:pPr marL="57150" lvl="1" indent="-57150">
            <a:lnSpc>
              <a:spcPct val="100000"/>
            </a:lnSpc>
            <a:spcBef>
              <a:spcPct val="0"/>
            </a:spcBef>
            <a:spcAft>
              <a:spcPct val="15000"/>
            </a:spcAft>
            <a:buChar char="•"/>
          </a:pPr>
          <a:r>
            <a:rPr lang="en-US" sz="1000" b="1">
              <a:solidFill>
                <a:schemeClr val="dk1"/>
              </a:solidFill>
              <a:latin typeface="仿宋" panose="02010609060101010101" pitchFamily="3" charset="-122"/>
              <a:ea typeface="仿宋" panose="02010609060101010101" pitchFamily="3" charset="-122"/>
            </a:rPr>
            <a:t>年满18</a:t>
          </a:r>
          <a:r>
            <a:rPr lang="zh-CN" sz="1000" b="1">
              <a:solidFill>
                <a:schemeClr val="dk1"/>
              </a:solidFill>
              <a:latin typeface="仿宋" panose="02010609060101010101" pitchFamily="3" charset="-122"/>
              <a:ea typeface="仿宋" panose="02010609060101010101" pitchFamily="3" charset="-122"/>
            </a:rPr>
            <a:t>周岁的本科生；</a:t>
          </a:r>
          <a:endParaRPr lang="zh-CN" altLang="en-US" sz="1000" b="1">
            <a:solidFill>
              <a:schemeClr val="dk1"/>
            </a:solidFill>
            <a:latin typeface="仿宋" panose="02010609060101010101" pitchFamily="3" charset="-122"/>
            <a:ea typeface="仿宋" panose="02010609060101010101" pitchFamily="3" charset="-122"/>
          </a:endParaRPr>
        </a:p>
        <a:p>
          <a:pPr marL="57150" lvl="1" indent="-57150">
            <a:lnSpc>
              <a:spcPct val="100000"/>
            </a:lnSpc>
            <a:spcBef>
              <a:spcPct val="0"/>
            </a:spcBef>
            <a:spcAft>
              <a:spcPct val="15000"/>
            </a:spcAft>
            <a:buChar char="•"/>
          </a:pPr>
          <a:r>
            <a:rPr lang="zh-CN" altLang="en-US" sz="1000" b="1">
              <a:solidFill>
                <a:schemeClr val="dk1"/>
              </a:solidFill>
              <a:latin typeface="仿宋" panose="02010609060101010101" pitchFamily="3" charset="-122"/>
              <a:ea typeface="仿宋" panose="02010609060101010101" pitchFamily="3" charset="-122"/>
            </a:rPr>
            <a:t>愿意接受挑战且对美国知名企业文化和运作感兴趣</a:t>
          </a:r>
          <a:endParaRPr lang="zh-CN" altLang="en-US" sz="1000" b="1">
            <a:solidFill>
              <a:schemeClr val="dk1"/>
            </a:solidFill>
            <a:latin typeface="仿宋" panose="02010609060101010101" pitchFamily="3" charset="-122"/>
            <a:ea typeface="仿宋" panose="02010609060101010101" pitchFamily="3" charset="-122"/>
          </a:endParaRPr>
        </a:p>
        <a:p>
          <a:pPr marL="57150" lvl="1" indent="-57150">
            <a:lnSpc>
              <a:spcPct val="100000"/>
            </a:lnSpc>
            <a:spcBef>
              <a:spcPct val="0"/>
            </a:spcBef>
            <a:spcAft>
              <a:spcPct val="15000"/>
            </a:spcAft>
            <a:buChar char="•"/>
          </a:pPr>
          <a:r>
            <a:rPr lang="zh-CN" sz="1000" b="1">
              <a:solidFill>
                <a:schemeClr val="dk1"/>
              </a:solidFill>
              <a:latin typeface="仿宋" panose="02010609060101010101" pitchFamily="3" charset="-122"/>
              <a:ea typeface="仿宋" panose="02010609060101010101" pitchFamily="3" charset="-122"/>
            </a:rPr>
            <a:t>自愿参加，保证项目结束后按时返校</a:t>
          </a:r>
          <a:endParaRPr lang="zh-CN" altLang="en-US" sz="1000" b="1">
            <a:solidFill>
              <a:schemeClr val="dk1"/>
            </a:solidFill>
            <a:latin typeface="仿宋" panose="02010609060101010101" pitchFamily="3" charset="-122"/>
            <a:ea typeface="仿宋" panose="02010609060101010101" pitchFamily="3" charset="-122"/>
          </a:endParaRPr>
        </a:p>
      </dsp:txBody>
      <dsp:txXfrm>
        <a:off x="0" y="1072142"/>
        <a:ext cx="1799373" cy="1484106"/>
      </dsp:txXfrm>
    </dsp:sp>
    <dsp:sp modelId="{AED04EC4-B3BB-FE47-929C-B0BA6AF3C61C}">
      <dsp:nvSpPr>
        <dsp:cNvPr id="6" name="形状 5"/>
        <dsp:cNvSpPr/>
      </dsp:nvSpPr>
      <dsp:spPr bwMode="white">
        <a:xfrm>
          <a:off x="995413" y="1428266"/>
          <a:ext cx="2046072" cy="2046072"/>
        </a:xfrm>
        <a:prstGeom prst="leftCircularArrow">
          <a:avLst>
            <a:gd name="adj1" fmla="val 5000"/>
            <a:gd name="adj2" fmla="val -360000"/>
            <a:gd name="adj3" fmla="val 2271961"/>
            <a:gd name="adj4" fmla="val 9160939"/>
            <a:gd name="adj5" fmla="val 5500"/>
          </a:avLst>
        </a:prstGeom>
      </dsp:spPr>
      <dsp:style>
        <a:lnRef idx="0">
          <a:schemeClr val="accent1">
            <a:tint val="60000"/>
          </a:schemeClr>
        </a:lnRef>
        <a:fillRef idx="1">
          <a:schemeClr val="accent1">
            <a:tint val="60000"/>
          </a:schemeClr>
        </a:fillRef>
        <a:effectRef idx="0">
          <a:scrgbClr r="0" g="0" b="0"/>
        </a:effectRef>
        <a:fontRef idx="minor">
          <a:schemeClr val="lt1"/>
        </a:fontRef>
      </dsp:style>
      <dsp:txXfrm>
        <a:off x="995413" y="1428266"/>
        <a:ext cx="2046072" cy="2046072"/>
      </dsp:txXfrm>
    </dsp:sp>
    <dsp:sp modelId="{C4C8D89D-9A09-C247-A6A1-0343CAD750D8}">
      <dsp:nvSpPr>
        <dsp:cNvPr id="5" name="圆角矩形 4"/>
        <dsp:cNvSpPr/>
      </dsp:nvSpPr>
      <dsp:spPr bwMode="white">
        <a:xfrm>
          <a:off x="399861" y="2238225"/>
          <a:ext cx="1599442" cy="636045"/>
        </a:xfrm>
        <a:prstGeom prst="roundRect">
          <a:avLst>
            <a:gd name="adj" fmla="val 10000"/>
          </a:avLst>
        </a:prstGeom>
      </dsp:spPr>
      <dsp:style>
        <a:lnRef idx="2">
          <a:schemeClr val="lt1"/>
        </a:lnRef>
        <a:fillRef idx="1">
          <a:schemeClr val="accent1"/>
        </a:fillRef>
        <a:effectRef idx="0">
          <a:scrgbClr r="0" g="0" b="0"/>
        </a:effectRef>
        <a:fontRef idx="minor">
          <a:schemeClr val="lt1"/>
        </a:fontRef>
      </dsp:style>
      <dsp:txBody>
        <a:bodyPr lIns="53340" tIns="35560" rIns="53340" bIns="35560" anchor="ctr"/>
        <a:lstStyle>
          <a:lvl1pPr algn="ctr">
            <a:defRPr sz="2800"/>
          </a:lvl1pPr>
          <a:lvl2pPr marL="228600" indent="-228600" algn="ctr">
            <a:defRPr sz="2100"/>
          </a:lvl2pPr>
          <a:lvl3pPr marL="457200" indent="-228600" algn="ctr">
            <a:defRPr sz="2100"/>
          </a:lvl3pPr>
          <a:lvl4pPr marL="685800" indent="-228600" algn="ctr">
            <a:defRPr sz="2100"/>
          </a:lvl4pPr>
          <a:lvl5pPr marL="914400" indent="-228600" algn="ctr">
            <a:defRPr sz="2100"/>
          </a:lvl5pPr>
          <a:lvl6pPr marL="1143000" indent="-228600" algn="ctr">
            <a:defRPr sz="2100"/>
          </a:lvl6pPr>
          <a:lvl7pPr marL="1371600" indent="-228600" algn="ctr">
            <a:defRPr sz="2100"/>
          </a:lvl7pPr>
          <a:lvl8pPr marL="1600200" indent="-228600" algn="ctr">
            <a:defRPr sz="2100"/>
          </a:lvl8pPr>
          <a:lvl9pPr marL="1828800" indent="-228600" algn="ctr">
            <a:defRPr sz="2100"/>
          </a:lvl9pPr>
        </a:lstStyle>
        <a:p>
          <a:pPr lvl="0">
            <a:lnSpc>
              <a:spcPct val="100000"/>
            </a:lnSpc>
            <a:spcBef>
              <a:spcPct val="0"/>
            </a:spcBef>
            <a:spcAft>
              <a:spcPct val="35000"/>
            </a:spcAft>
          </a:pPr>
          <a:r>
            <a:rPr lang="zh-CN" altLang="en-US"/>
            <a:t>报名条件</a:t>
          </a:r>
        </a:p>
      </dsp:txBody>
      <dsp:txXfrm>
        <a:off x="399861" y="2238225"/>
        <a:ext cx="1599442" cy="636045"/>
      </dsp:txXfrm>
    </dsp:sp>
    <dsp:sp modelId="{F77B0760-0140-CD4A-8FFE-F964EC1DD928}">
      <dsp:nvSpPr>
        <dsp:cNvPr id="8" name="圆角矩形 7"/>
        <dsp:cNvSpPr/>
      </dsp:nvSpPr>
      <dsp:spPr bwMode="white">
        <a:xfrm>
          <a:off x="2260785" y="1027619"/>
          <a:ext cx="1907335" cy="1573152"/>
        </a:xfrm>
        <a:prstGeom prst="roundRect">
          <a:avLst>
            <a:gd name="adj" fmla="val 10000"/>
          </a:avLst>
        </a:prstGeom>
      </dsp:spPr>
      <dsp:style>
        <a:lnRef idx="2">
          <a:schemeClr val="accent1"/>
        </a:lnRef>
        <a:fillRef idx="1">
          <a:schemeClr val="lt1">
            <a:alpha val="90000"/>
          </a:schemeClr>
        </a:fillRef>
        <a:effectRef idx="0">
          <a:scrgbClr r="0" g="0" b="0"/>
        </a:effectRef>
        <a:fontRef idx="minor"/>
      </dsp:style>
      <dsp:txBody>
        <a:bodyPr lIns="17145" tIns="17145" rIns="17145" bIns="17145" anchor="t"/>
        <a:lstStyle>
          <a:lvl1pPr algn="l">
            <a:defRPr sz="6500"/>
          </a:lvl1pPr>
          <a:lvl2pPr marL="285750" indent="-285750" algn="l">
            <a:defRPr sz="6500"/>
          </a:lvl2pPr>
          <a:lvl3pPr marL="571500" indent="-285750" algn="l">
            <a:defRPr sz="6500"/>
          </a:lvl3pPr>
          <a:lvl4pPr marL="857250" indent="-285750" algn="l">
            <a:defRPr sz="6500"/>
          </a:lvl4pPr>
          <a:lvl5pPr marL="1143000" indent="-285750" algn="l">
            <a:defRPr sz="6500"/>
          </a:lvl5pPr>
          <a:lvl6pPr marL="1428750" indent="-285750" algn="l">
            <a:defRPr sz="6500"/>
          </a:lvl6pPr>
          <a:lvl7pPr marL="1714500" indent="-285750" algn="l">
            <a:defRPr sz="6500"/>
          </a:lvl7pPr>
          <a:lvl8pPr marL="2000250" indent="-285750" algn="l">
            <a:defRPr sz="6500"/>
          </a:lvl8pPr>
          <a:lvl9pPr marL="2286000" indent="-285750" algn="l">
            <a:defRPr sz="6500"/>
          </a:lvl9pPr>
        </a:lstStyle>
        <a:p>
          <a:pPr marL="57150" lvl="1" indent="-57150">
            <a:lnSpc>
              <a:spcPct val="100000"/>
            </a:lnSpc>
            <a:spcBef>
              <a:spcPct val="0"/>
            </a:spcBef>
            <a:spcAft>
              <a:spcPct val="15000"/>
            </a:spcAft>
            <a:buChar char="•"/>
          </a:pPr>
          <a:r>
            <a:rPr lang="zh-CN" altLang="en-US" sz="900" b="1">
              <a:solidFill>
                <a:schemeClr val="dk1"/>
              </a:solidFill>
            </a:rPr>
            <a:t>联系项目方</a:t>
          </a:r>
          <a:endParaRPr lang="zh-CN" altLang="en-US" sz="900" b="1">
            <a:solidFill>
              <a:schemeClr val="dk1"/>
            </a:solidFill>
          </a:endParaRPr>
        </a:p>
        <a:p>
          <a:pPr marL="57150" lvl="1" indent="-57150">
            <a:lnSpc>
              <a:spcPct val="100000"/>
            </a:lnSpc>
            <a:spcBef>
              <a:spcPct val="0"/>
            </a:spcBef>
            <a:spcAft>
              <a:spcPct val="15000"/>
            </a:spcAft>
            <a:buChar char="•"/>
          </a:pPr>
          <a:r>
            <a:rPr lang="zh-CN" altLang="en-US" sz="900" b="1">
              <a:solidFill>
                <a:schemeClr val="dk1"/>
              </a:solidFill>
            </a:rPr>
            <a:t>提交申请表</a:t>
          </a:r>
          <a:endParaRPr lang="zh-CN" altLang="en-US" sz="900" b="1">
            <a:solidFill>
              <a:schemeClr val="dk1"/>
            </a:solidFill>
          </a:endParaRPr>
        </a:p>
        <a:p>
          <a:pPr marL="57150" lvl="1" indent="-57150">
            <a:lnSpc>
              <a:spcPct val="100000"/>
            </a:lnSpc>
            <a:spcBef>
              <a:spcPct val="0"/>
            </a:spcBef>
            <a:spcAft>
              <a:spcPct val="15000"/>
            </a:spcAft>
            <a:buChar char="•"/>
          </a:pPr>
          <a:r>
            <a:rPr lang="zh-CN" altLang="en-US" sz="900" b="1">
              <a:solidFill>
                <a:schemeClr val="dk1"/>
              </a:solidFill>
            </a:rPr>
            <a:t>学校审核申请</a:t>
          </a:r>
          <a:endParaRPr lang="zh-CN" altLang="en-US" sz="900" b="1">
            <a:solidFill>
              <a:schemeClr val="dk1"/>
            </a:solidFill>
          </a:endParaRPr>
        </a:p>
        <a:p>
          <a:pPr marL="57150" lvl="1" indent="-57150">
            <a:lnSpc>
              <a:spcPct val="100000"/>
            </a:lnSpc>
            <a:spcBef>
              <a:spcPct val="0"/>
            </a:spcBef>
            <a:spcAft>
              <a:spcPct val="15000"/>
            </a:spcAft>
            <a:buChar char="•"/>
          </a:pPr>
          <a:r>
            <a:rPr lang="zh-CN" altLang="en-US" sz="900" b="1">
              <a:solidFill>
                <a:schemeClr val="dk1"/>
              </a:solidFill>
            </a:rPr>
            <a:t>项目方面试</a:t>
          </a:r>
          <a:endParaRPr lang="zh-CN" altLang="en-US" sz="900" b="1">
            <a:solidFill>
              <a:schemeClr val="dk1"/>
            </a:solidFill>
          </a:endParaRPr>
        </a:p>
        <a:p>
          <a:pPr marL="57150" lvl="1" indent="-57150">
            <a:lnSpc>
              <a:spcPct val="100000"/>
            </a:lnSpc>
            <a:spcBef>
              <a:spcPct val="0"/>
            </a:spcBef>
            <a:spcAft>
              <a:spcPct val="15000"/>
            </a:spcAft>
            <a:buChar char="•"/>
          </a:pPr>
          <a:r>
            <a:rPr lang="zh-CN" altLang="en-US" sz="900" b="1">
              <a:solidFill>
                <a:schemeClr val="dk1"/>
              </a:solidFill>
            </a:rPr>
            <a:t>通过面试发缴费通知</a:t>
          </a:r>
          <a:endParaRPr>
            <a:solidFill>
              <a:schemeClr val="dk1"/>
            </a:solidFill>
          </a:endParaRPr>
        </a:p>
      </dsp:txBody>
      <dsp:txXfrm>
        <a:off x="2260785" y="1027619"/>
        <a:ext cx="1907335" cy="1573152"/>
      </dsp:txXfrm>
    </dsp:sp>
    <dsp:sp modelId="{1BCC73C1-3B5A-154D-B8F5-2F502CF97585}">
      <dsp:nvSpPr>
        <dsp:cNvPr id="10" name="环形箭头 9"/>
        <dsp:cNvSpPr/>
      </dsp:nvSpPr>
      <dsp:spPr bwMode="white">
        <a:xfrm>
          <a:off x="3262103" y="77149"/>
          <a:ext cx="2323294" cy="2323294"/>
        </a:xfrm>
        <a:prstGeom prst="circularArrow">
          <a:avLst>
            <a:gd name="adj1" fmla="val 5000"/>
            <a:gd name="adj2" fmla="val 360000"/>
            <a:gd name="adj3" fmla="val 19584651"/>
            <a:gd name="adj4" fmla="val 12695672"/>
            <a:gd name="adj5" fmla="val 5500"/>
          </a:avLst>
        </a:prstGeom>
      </dsp:spPr>
      <dsp:style>
        <a:lnRef idx="0">
          <a:schemeClr val="accent1">
            <a:tint val="60000"/>
          </a:schemeClr>
        </a:lnRef>
        <a:fillRef idx="1">
          <a:schemeClr val="accent1">
            <a:tint val="60000"/>
          </a:schemeClr>
        </a:fillRef>
        <a:effectRef idx="0">
          <a:scrgbClr r="0" g="0" b="0"/>
        </a:effectRef>
        <a:fontRef idx="minor">
          <a:schemeClr val="lt1"/>
        </a:fontRef>
      </dsp:style>
      <dsp:txXfrm>
        <a:off x="3262103" y="77149"/>
        <a:ext cx="2323294" cy="2323294"/>
      </dsp:txXfrm>
    </dsp:sp>
    <dsp:sp modelId="{2F2B28EA-1E54-414F-AD09-E8D339FF7459}">
      <dsp:nvSpPr>
        <dsp:cNvPr id="9" name="圆角矩形 8"/>
        <dsp:cNvSpPr/>
      </dsp:nvSpPr>
      <dsp:spPr bwMode="white">
        <a:xfrm>
          <a:off x="2684637" y="690515"/>
          <a:ext cx="1695409" cy="674208"/>
        </a:xfrm>
        <a:prstGeom prst="roundRect">
          <a:avLst>
            <a:gd name="adj" fmla="val 10000"/>
          </a:avLst>
        </a:prstGeom>
      </dsp:spPr>
      <dsp:style>
        <a:lnRef idx="2">
          <a:schemeClr val="lt1"/>
        </a:lnRef>
        <a:fillRef idx="1">
          <a:schemeClr val="accent1"/>
        </a:fillRef>
        <a:effectRef idx="0">
          <a:scrgbClr r="0" g="0" b="0"/>
        </a:effectRef>
        <a:fontRef idx="minor">
          <a:schemeClr val="lt1"/>
        </a:fontRef>
      </dsp:style>
      <dsp:txBody>
        <a:bodyPr lIns="53340" tIns="35560" rIns="53340" bIns="35560" anchor="ctr"/>
        <a:lstStyle>
          <a:lvl1pPr algn="ctr">
            <a:defRPr sz="2800"/>
          </a:lvl1pPr>
          <a:lvl2pPr marL="228600" indent="-228600" algn="ctr">
            <a:defRPr sz="2100"/>
          </a:lvl2pPr>
          <a:lvl3pPr marL="457200" indent="-228600" algn="ctr">
            <a:defRPr sz="2100"/>
          </a:lvl3pPr>
          <a:lvl4pPr marL="685800" indent="-228600" algn="ctr">
            <a:defRPr sz="2100"/>
          </a:lvl4pPr>
          <a:lvl5pPr marL="914400" indent="-228600" algn="ctr">
            <a:defRPr sz="2100"/>
          </a:lvl5pPr>
          <a:lvl6pPr marL="1143000" indent="-228600" algn="ctr">
            <a:defRPr sz="2100"/>
          </a:lvl6pPr>
          <a:lvl7pPr marL="1371600" indent="-228600" algn="ctr">
            <a:defRPr sz="2100"/>
          </a:lvl7pPr>
          <a:lvl8pPr marL="1600200" indent="-228600" algn="ctr">
            <a:defRPr sz="2100"/>
          </a:lvl8pPr>
          <a:lvl9pPr marL="1828800" indent="-228600" algn="ctr">
            <a:defRPr sz="2100"/>
          </a:lvl9pPr>
        </a:lstStyle>
        <a:p>
          <a:pPr lvl="0">
            <a:lnSpc>
              <a:spcPct val="100000"/>
            </a:lnSpc>
            <a:spcBef>
              <a:spcPct val="0"/>
            </a:spcBef>
            <a:spcAft>
              <a:spcPct val="35000"/>
            </a:spcAft>
          </a:pPr>
          <a:r>
            <a:rPr lang="zh-CN" altLang="en-US"/>
            <a:t>报名流程</a:t>
          </a:r>
        </a:p>
      </dsp:txBody>
      <dsp:txXfrm>
        <a:off x="2684637" y="690515"/>
        <a:ext cx="1695409" cy="674208"/>
      </dsp:txXfrm>
    </dsp:sp>
    <dsp:sp modelId="{44BC9401-882E-4541-82FE-64300CCEC95E}">
      <dsp:nvSpPr>
        <dsp:cNvPr id="12" name="圆角矩形 11"/>
        <dsp:cNvSpPr/>
      </dsp:nvSpPr>
      <dsp:spPr bwMode="white">
        <a:xfrm>
          <a:off x="4641527" y="1072142"/>
          <a:ext cx="1799373" cy="1484106"/>
        </a:xfrm>
        <a:prstGeom prst="roundRect">
          <a:avLst>
            <a:gd name="adj" fmla="val 10000"/>
          </a:avLst>
        </a:prstGeom>
      </dsp:spPr>
      <dsp:style>
        <a:lnRef idx="2">
          <a:schemeClr val="accent1"/>
        </a:lnRef>
        <a:fillRef idx="1">
          <a:schemeClr val="lt1">
            <a:alpha val="90000"/>
          </a:schemeClr>
        </a:fillRef>
        <a:effectRef idx="0">
          <a:scrgbClr r="0" g="0" b="0"/>
        </a:effectRef>
        <a:fontRef idx="minor"/>
      </dsp:style>
      <dsp:txBody>
        <a:bodyPr lIns="38100" tIns="38100" rIns="38100" bIns="38100" anchor="t"/>
        <a:lstStyle>
          <a:lvl1pPr algn="l">
            <a:defRPr sz="6500"/>
          </a:lvl1pPr>
          <a:lvl2pPr marL="285750" indent="-285750" algn="l">
            <a:defRPr sz="6500"/>
          </a:lvl2pPr>
          <a:lvl3pPr marL="571500" indent="-285750" algn="l">
            <a:defRPr sz="6500"/>
          </a:lvl3pPr>
          <a:lvl4pPr marL="857250" indent="-285750" algn="l">
            <a:defRPr sz="6500"/>
          </a:lvl4pPr>
          <a:lvl5pPr marL="1143000" indent="-285750" algn="l">
            <a:defRPr sz="6500"/>
          </a:lvl5pPr>
          <a:lvl6pPr marL="1428750" indent="-285750" algn="l">
            <a:defRPr sz="6500"/>
          </a:lvl6pPr>
          <a:lvl7pPr marL="1714500" indent="-285750" algn="l">
            <a:defRPr sz="6500"/>
          </a:lvl7pPr>
          <a:lvl8pPr marL="2000250" indent="-285750" algn="l">
            <a:defRPr sz="6500"/>
          </a:lvl8pPr>
          <a:lvl9pPr marL="2286000" indent="-285750" algn="l">
            <a:defRPr sz="6500"/>
          </a:lvl9pPr>
        </a:lstStyle>
        <a:p>
          <a:pPr marL="228600" lvl="1" indent="-228600">
            <a:lnSpc>
              <a:spcPct val="100000"/>
            </a:lnSpc>
            <a:spcBef>
              <a:spcPct val="0"/>
            </a:spcBef>
            <a:spcAft>
              <a:spcPct val="15000"/>
            </a:spcAft>
            <a:buChar char="•"/>
          </a:pPr>
          <a:r>
            <a:rPr lang="en-US" sz="2000" b="1">
              <a:solidFill>
                <a:schemeClr val="dk1"/>
              </a:solidFill>
              <a:latin typeface="仿宋" panose="02010609060101010101" pitchFamily="3" charset="-122"/>
              <a:ea typeface="仿宋" panose="02010609060101010101" pitchFamily="3" charset="-122"/>
            </a:rPr>
            <a:t>2024</a:t>
          </a:r>
          <a:r>
            <a:rPr lang="zh-CN" sz="2000" b="1">
              <a:solidFill>
                <a:schemeClr val="dk1"/>
              </a:solidFill>
              <a:latin typeface="仿宋" panose="02010609060101010101" pitchFamily="3" charset="-122"/>
              <a:ea typeface="仿宋" panose="02010609060101010101" pitchFamily="3" charset="-122"/>
            </a:rPr>
            <a:t>年</a:t>
          </a:r>
          <a:r>
            <a:rPr lang="en-US" altLang="zh-CN" sz="2000" b="1">
              <a:solidFill>
                <a:schemeClr val="dk1"/>
              </a:solidFill>
              <a:latin typeface="仿宋" panose="02010609060101010101" pitchFamily="3" charset="-122"/>
              <a:ea typeface="仿宋" panose="02010609060101010101" pitchFamily="3" charset="-122"/>
            </a:rPr>
            <a:t>4</a:t>
          </a:r>
          <a:r>
            <a:rPr lang="zh-CN" sz="2000" b="1">
              <a:solidFill>
                <a:schemeClr val="dk1"/>
              </a:solidFill>
              <a:latin typeface="仿宋" panose="02010609060101010101" pitchFamily="3" charset="-122"/>
              <a:ea typeface="仿宋" panose="02010609060101010101" pitchFamily="3" charset="-122"/>
            </a:rPr>
            <a:t>月</a:t>
          </a:r>
          <a:r>
            <a:rPr lang="en-US" altLang="zh-CN" sz="2000" b="1">
              <a:solidFill>
                <a:schemeClr val="dk1"/>
              </a:solidFill>
              <a:latin typeface="仿宋" panose="02010609060101010101" pitchFamily="3" charset="-122"/>
              <a:ea typeface="仿宋" panose="02010609060101010101" pitchFamily="3" charset="-122"/>
            </a:rPr>
            <a:t>30</a:t>
          </a:r>
          <a:r>
            <a:rPr lang="zh-CN" sz="2000" b="1">
              <a:solidFill>
                <a:schemeClr val="dk1"/>
              </a:solidFill>
              <a:latin typeface="仿宋" panose="02010609060101010101" pitchFamily="3" charset="-122"/>
              <a:ea typeface="仿宋" panose="02010609060101010101" pitchFamily="3" charset="-122"/>
            </a:rPr>
            <a:t>日</a:t>
          </a:r>
          <a:endParaRPr lang="zh-CN" altLang="en-US" sz="2000">
            <a:solidFill>
              <a:schemeClr val="dk1"/>
            </a:solidFill>
            <a:latin typeface="仿宋" panose="02010609060101010101" pitchFamily="3" charset="-122"/>
            <a:ea typeface="仿宋" panose="02010609060101010101" pitchFamily="3" charset="-122"/>
          </a:endParaRPr>
        </a:p>
      </dsp:txBody>
      <dsp:txXfrm>
        <a:off x="4641527" y="1072142"/>
        <a:ext cx="1799373" cy="1484106"/>
      </dsp:txXfrm>
    </dsp:sp>
    <dsp:sp modelId="{47C166FD-3BFF-284E-B18E-EF8C7C8AC64D}">
      <dsp:nvSpPr>
        <dsp:cNvPr id="13" name="圆角矩形 12"/>
        <dsp:cNvSpPr/>
      </dsp:nvSpPr>
      <dsp:spPr bwMode="white">
        <a:xfrm>
          <a:off x="5041388" y="2238225"/>
          <a:ext cx="1599442" cy="636045"/>
        </a:xfrm>
        <a:prstGeom prst="roundRect">
          <a:avLst>
            <a:gd name="adj" fmla="val 10000"/>
          </a:avLst>
        </a:prstGeom>
      </dsp:spPr>
      <dsp:style>
        <a:lnRef idx="2">
          <a:schemeClr val="lt1"/>
        </a:lnRef>
        <a:fillRef idx="1">
          <a:schemeClr val="accent1"/>
        </a:fillRef>
        <a:effectRef idx="0">
          <a:scrgbClr r="0" g="0" b="0"/>
        </a:effectRef>
        <a:fontRef idx="minor">
          <a:schemeClr val="lt1"/>
        </a:fontRef>
      </dsp:style>
      <dsp:txBody>
        <a:bodyPr lIns="53340" tIns="35560" rIns="53340" bIns="35560" anchor="ctr"/>
        <a:lstStyle>
          <a:lvl1pPr algn="ctr">
            <a:defRPr sz="2800"/>
          </a:lvl1pPr>
          <a:lvl2pPr marL="228600" indent="-228600" algn="ctr">
            <a:defRPr sz="2100"/>
          </a:lvl2pPr>
          <a:lvl3pPr marL="457200" indent="-228600" algn="ctr">
            <a:defRPr sz="2100"/>
          </a:lvl3pPr>
          <a:lvl4pPr marL="685800" indent="-228600" algn="ctr">
            <a:defRPr sz="2100"/>
          </a:lvl4pPr>
          <a:lvl5pPr marL="914400" indent="-228600" algn="ctr">
            <a:defRPr sz="2100"/>
          </a:lvl5pPr>
          <a:lvl6pPr marL="1143000" indent="-228600" algn="ctr">
            <a:defRPr sz="2100"/>
          </a:lvl6pPr>
          <a:lvl7pPr marL="1371600" indent="-228600" algn="ctr">
            <a:defRPr sz="2100"/>
          </a:lvl7pPr>
          <a:lvl8pPr marL="1600200" indent="-228600" algn="ctr">
            <a:defRPr sz="2100"/>
          </a:lvl8pPr>
          <a:lvl9pPr marL="1828800" indent="-228600" algn="ctr">
            <a:defRPr sz="2100"/>
          </a:lvl9pPr>
        </a:lstStyle>
        <a:p>
          <a:pPr lvl="0">
            <a:lnSpc>
              <a:spcPct val="100000"/>
            </a:lnSpc>
            <a:spcBef>
              <a:spcPct val="0"/>
            </a:spcBef>
            <a:spcAft>
              <a:spcPct val="35000"/>
            </a:spcAft>
          </a:pPr>
          <a:r>
            <a:rPr lang="zh-CN" altLang="en-US"/>
            <a:t>截止日期</a:t>
          </a:r>
        </a:p>
      </dsp:txBody>
      <dsp:txXfrm>
        <a:off x="5041388" y="2238225"/>
        <a:ext cx="1599442" cy="636045"/>
      </dsp:txXfrm>
    </dsp:sp>
    <dsp:sp modelId="{E398FE47-AE1E-D84F-87B7-7566061B99C3}">
      <dsp:nvSpPr>
        <dsp:cNvPr id="3" name="矩形 2" hidden="1"/>
        <dsp:cNvSpPr/>
      </dsp:nvSpPr>
      <dsp:spPr bwMode="white">
        <a:xfrm>
          <a:off x="0" y="754119"/>
          <a:ext cx="1999303" cy="2120151"/>
        </a:xfrm>
        <a:prstGeom prst="rect">
          <a:avLst/>
        </a:prstGeom>
      </dsp:spPr>
      <dsp:style>
        <a:lnRef idx="2">
          <a:schemeClr val="lt1"/>
        </a:lnRef>
        <a:fillRef idx="1">
          <a:schemeClr val="accent1"/>
        </a:fillRef>
        <a:effectRef idx="0">
          <a:scrgbClr r="0" g="0" b="0"/>
        </a:effectRef>
        <a:fontRef idx="minor">
          <a:schemeClr val="lt1"/>
        </a:fontRef>
      </dsp:style>
      <dsp:txXfrm>
        <a:off x="0" y="754119"/>
        <a:ext cx="1999303" cy="2120151"/>
      </dsp:txXfrm>
    </dsp:sp>
    <dsp:sp modelId="{2C7E89BA-1B4E-9348-B5A8-4DEF45723E9B}">
      <dsp:nvSpPr>
        <dsp:cNvPr id="7" name="矩形 6" hidden="1"/>
        <dsp:cNvSpPr/>
      </dsp:nvSpPr>
      <dsp:spPr bwMode="white">
        <a:xfrm>
          <a:off x="2260785" y="690515"/>
          <a:ext cx="2119261" cy="2247360"/>
        </a:xfrm>
        <a:prstGeom prst="rect">
          <a:avLst/>
        </a:prstGeom>
      </dsp:spPr>
      <dsp:style>
        <a:lnRef idx="2">
          <a:schemeClr val="lt1"/>
        </a:lnRef>
        <a:fillRef idx="1">
          <a:schemeClr val="accent1"/>
        </a:fillRef>
        <a:effectRef idx="0">
          <a:scrgbClr r="0" g="0" b="0"/>
        </a:effectRef>
        <a:fontRef idx="minor">
          <a:schemeClr val="lt1"/>
        </a:fontRef>
      </dsp:style>
      <dsp:txXfrm>
        <a:off x="2260785" y="690515"/>
        <a:ext cx="2119261" cy="2247360"/>
      </dsp:txXfrm>
    </dsp:sp>
    <dsp:sp modelId="{A08EE1CB-0C1A-B34C-BD61-D117B158378D}">
      <dsp:nvSpPr>
        <dsp:cNvPr id="11" name="矩形 10" hidden="1"/>
        <dsp:cNvSpPr/>
      </dsp:nvSpPr>
      <dsp:spPr bwMode="white">
        <a:xfrm>
          <a:off x="4641527" y="754119"/>
          <a:ext cx="1999303" cy="2120151"/>
        </a:xfrm>
        <a:prstGeom prst="rect">
          <a:avLst/>
        </a:prstGeom>
      </dsp:spPr>
      <dsp:style>
        <a:lnRef idx="2">
          <a:schemeClr val="lt1"/>
        </a:lnRef>
        <a:fillRef idx="1">
          <a:schemeClr val="accent1"/>
        </a:fillRef>
        <a:effectRef idx="0">
          <a:scrgbClr r="0" g="0" b="0"/>
        </a:effectRef>
        <a:fontRef idx="minor">
          <a:schemeClr val="lt1"/>
        </a:fontRef>
      </dsp:style>
      <dsp:txXfrm>
        <a:off x="4641527" y="754119"/>
        <a:ext cx="1999303" cy="2120151"/>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srcNode" val="parentNode1"/>
              <dgm:param type="dstNode" val="connSite2"/>
              <dgm:param type="connRout" val="curve"/>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srcNode" val="parentNode2"/>
                <dgm:param type="dstNode" val="connSite1"/>
                <dgm:param type="connRout" val="curve"/>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0">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bg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callout">
    <dgm:scene3d>
      <a:camera prst="orthographicFront"/>
      <a:lightRig rig="threePt" dir="t"/>
    </dgm:scene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dk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fgAcc0">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hp">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0">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2D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revTx">
    <dgm:scene3d>
      <a:camera prst="orthographicFront"/>
      <a:lightRig rig="threePt" dir="t"/>
    </dgm:scene3d>
    <dgm:txPr/>
    <dgm:style>
      <a:lnRef idx="0">
        <a:scrgbClr r="0" g="0" b="0"/>
      </a:lnRef>
      <a:fillRef idx="0">
        <a:scrgbClr r="0" g="0" b="0"/>
      </a:fillRef>
      <a:effectRef idx="0">
        <a:scrgbClr r="0" g="0" b="0"/>
      </a:effectRef>
      <a:fontRef idx="minor"/>
    </dgm:style>
  </dgm:styleLbl>
  <dgm:styleLbl name="sibTrans1D1">
    <dgm:scene3d>
      <a:camera prst="orthographicFront"/>
      <a:lightRig rig="threePt" dir="t"/>
    </dgm:scene3d>
    <dgm:txPr/>
    <dgm:style>
      <a:lnRef idx="1">
        <a:scrgbClr r="0" g="0" b="0"/>
      </a:lnRef>
      <a:fillRef idx="0">
        <a:scrgbClr r="0" g="0" b="0"/>
      </a:fillRef>
      <a:effectRef idx="0">
        <a:scrgbClr r="0" g="0" b="0"/>
      </a:effectRef>
      <a:fontRef idx="minor"/>
    </dgm:style>
  </dgm:styleLbl>
  <dgm:styleLbl name="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solid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txPr/>
    <dgm:style>
      <a:lnRef idx="1">
        <a:scrgbClr r="0" g="0" b="0"/>
      </a:lnRef>
      <a:fillRef idx="1">
        <a:scrgbClr r="0" g="0" b="0"/>
      </a:fillRef>
      <a:effectRef idx="0">
        <a:scrgbClr r="0" g="0" b="0"/>
      </a:effectRef>
      <a:fontRef idx="minor"/>
    </dgm:style>
  </dgm:styleLbl>
  <dgm:styleLbl name="tr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vennNode1">
    <dgm:scene3d>
      <a:camera prst="orthographicFront"/>
      <a:lightRig rig="threePt" dir="t"/>
    </dgm:scene3d>
    <dgm:txPr/>
    <dgm:style>
      <a:lnRef idx="2">
        <a:scrgbClr r="0" g="0" b="0"/>
      </a:lnRef>
      <a:fillRef idx="1">
        <a:scrgbClr r="0" g="0" b="0"/>
      </a:fillRef>
      <a:effectRef idx="0">
        <a:scrgbClr r="0" g="0" b="0"/>
      </a:effectRef>
      <a:fontRef idx="minor">
        <a:schemeClr val="tx1"/>
      </a:fontRef>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884</Words>
  <Characters>5041</Characters>
  <Lines>42</Lines>
  <Paragraphs>11</Paragraphs>
  <TotalTime>277</TotalTime>
  <ScaleCrop>false</ScaleCrop>
  <LinksUpToDate>false</LinksUpToDate>
  <CharactersWithSpaces>5914</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2024-03-01T03:16:00Z</dcterms:created>
  <dc:creator>cscee</dc:creator>
  <cp:lastModifiedBy>Crystal</cp:lastModifiedBy>
  <cp:lastPrinted>2024-03-01T03:16:00Z</cp:lastPrinted>
  <dcterms:modified xsi:type="dcterms:W3CDTF">2024-03-18T16:34:52Z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56887BA4294842CA9411A47A15EA9D00_13</vt:lpwstr>
  </property>
</Properties>
</file>